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564" w:rsidRPr="00982564" w:rsidRDefault="00982564" w:rsidP="00982564">
      <w:pPr>
        <w:pStyle w:val="Heading1"/>
        <w:rPr>
          <w:color w:val="auto"/>
        </w:rPr>
      </w:pPr>
      <w:r w:rsidRPr="00982564">
        <w:rPr>
          <w:color w:val="auto"/>
        </w:rPr>
        <w:t>Supplementary information</w:t>
      </w:r>
    </w:p>
    <w:p w:rsidR="00982564" w:rsidRPr="00982564" w:rsidRDefault="00982564" w:rsidP="00982564">
      <w:pPr>
        <w:pStyle w:val="Heading2"/>
        <w:rPr>
          <w:color w:val="auto"/>
        </w:rPr>
      </w:pPr>
      <w:r w:rsidRPr="00982564">
        <w:rPr>
          <w:color w:val="auto"/>
        </w:rPr>
        <w:t>Economic constraint</w:t>
      </w:r>
    </w:p>
    <w:p w:rsidR="00982564" w:rsidRPr="00982564" w:rsidRDefault="00982564" w:rsidP="00982564"/>
    <w:p w:rsidR="00982564" w:rsidRPr="00982564" w:rsidRDefault="00982564" w:rsidP="00982564">
      <w:pPr>
        <w:jc w:val="both"/>
      </w:pPr>
      <w:r w:rsidRPr="00982564">
        <w:t>In the EC parameter, in effect gives an indication of the ratio of the raw material cost of the main product to the market price of the main product. This is achieved by use of allocation which enables comparison on the basis of one unit of main product which in essence is the functional unit for the assessment. Given the nature of this calculation, any of the products from the process could be chosen as the main product regardless of its mass or economic value. In our case economic allocation is used to distribute raw material costs over all the products and co-products. In the special case of the EC parameter the use of economic allocation leads to the simplified calculation as represented by equation 1 in the article. The steps leading to equation 1 are as follows:</w:t>
      </w:r>
    </w:p>
    <w:p w:rsidR="00982564" w:rsidRPr="00982564" w:rsidRDefault="00982564" w:rsidP="00982564"/>
    <w:p w:rsidR="00982564" w:rsidRPr="00982564" w:rsidRDefault="00982564" w:rsidP="00982564">
      <m:oMathPara>
        <m:oMath>
          <m:sSub>
            <m:sSubPr>
              <m:ctrlPr>
                <w:rPr>
                  <w:rFonts w:ascii="Cambria Math" w:hAnsi="Cambria Math"/>
                  <w:i/>
                </w:rPr>
              </m:ctrlPr>
            </m:sSubPr>
            <m:e>
              <m:r>
                <w:rPr>
                  <w:rFonts w:ascii="Cambria Math" w:hAnsi="Cambria Math"/>
                </w:rPr>
                <m:t>A</m:t>
              </m:r>
            </m:e>
            <m:sub>
              <m:r>
                <w:rPr>
                  <w:rFonts w:ascii="Cambria Math" w:hAnsi="Cambria Math"/>
                </w:rPr>
                <m:t>fn</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x</m:t>
                  </m:r>
                </m:e>
                <m:sub>
                  <m:r>
                    <w:rPr>
                      <w:rFonts w:ascii="Cambria Math" w:hAnsi="Cambria Math"/>
                    </w:rPr>
                    <m:t>fn</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fn</m:t>
                  </m:r>
                </m:sub>
              </m:sSub>
            </m:num>
            <m:den>
              <m:nary>
                <m:naryPr>
                  <m:chr m:val="∑"/>
                  <m:limLoc m:val="undOvr"/>
                  <m:ctrlPr>
                    <w:rPr>
                      <w:rFonts w:ascii="Cambria Math" w:hAnsi="Cambria Math"/>
                      <w:i/>
                    </w:rPr>
                  </m:ctrlPr>
                </m:naryPr>
                <m:sub>
                  <m:r>
                    <w:rPr>
                      <w:rFonts w:ascii="Cambria Math" w:hAnsi="Cambria Math"/>
                    </w:rPr>
                    <m:t>n=1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n</m:t>
                      </m:r>
                    </m:sub>
                  </m:sSub>
                </m:e>
              </m:nary>
            </m:den>
          </m:f>
          <m:r>
            <w:rPr>
              <w:rFonts w:ascii="Cambria Math" w:hAnsi="Cambria Math"/>
            </w:rPr>
            <m:t xml:space="preserve">                    (S1)</m:t>
          </m:r>
        </m:oMath>
      </m:oMathPara>
    </w:p>
    <w:p w:rsidR="00982564" w:rsidRPr="00982564" w:rsidRDefault="00982564" w:rsidP="00982564"/>
    <w:p w:rsidR="00982564" w:rsidRPr="00982564" w:rsidRDefault="00982564" w:rsidP="00982564"/>
    <w:p w:rsidR="00982564" w:rsidRPr="00982564" w:rsidRDefault="00982564" w:rsidP="00982564">
      <m:oMathPara>
        <m:oMath>
          <m:sSub>
            <m:sSubPr>
              <m:ctrlPr>
                <w:rPr>
                  <w:rFonts w:ascii="Cambria Math" w:hAnsi="Cambria Math"/>
                  <w:i/>
                </w:rPr>
              </m:ctrlPr>
            </m:sSubPr>
            <m:e>
              <m:r>
                <w:rPr>
                  <w:rFonts w:ascii="Cambria Math" w:hAnsi="Cambria Math"/>
                </w:rPr>
                <m:t>r</m:t>
              </m:r>
            </m:e>
            <m:sub>
              <m:r>
                <w:rPr>
                  <w:rFonts w:ascii="Cambria Math" w:hAnsi="Cambria Math"/>
                </w:rPr>
                <m:t>fn</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fn</m:t>
                  </m:r>
                </m:sub>
              </m:sSub>
            </m:num>
            <m:den>
              <m:sSub>
                <m:sSubPr>
                  <m:ctrlPr>
                    <w:rPr>
                      <w:rFonts w:ascii="Cambria Math" w:hAnsi="Cambria Math"/>
                      <w:i/>
                    </w:rPr>
                  </m:ctrlPr>
                </m:sSubPr>
                <m:e>
                  <m:r>
                    <w:rPr>
                      <w:rFonts w:ascii="Cambria Math" w:hAnsi="Cambria Math"/>
                    </w:rPr>
                    <m:t>y</m:t>
                  </m:r>
                </m:e>
                <m:sub>
                  <m:r>
                    <w:rPr>
                      <w:rFonts w:ascii="Cambria Math" w:hAnsi="Cambria Math"/>
                    </w:rPr>
                    <m:t>fn</m:t>
                  </m:r>
                </m:sub>
              </m:sSub>
            </m:den>
          </m:f>
          <m:r>
            <w:rPr>
              <w:rFonts w:ascii="Cambria Math" w:hAnsi="Cambria Math"/>
            </w:rPr>
            <m:t xml:space="preserve"> × </m:t>
          </m:r>
          <m:nary>
            <m:naryPr>
              <m:chr m:val="∑"/>
              <m:limLoc m:val="undOvr"/>
              <m:ctrlPr>
                <w:rPr>
                  <w:rFonts w:ascii="Cambria Math" w:hAnsi="Cambria Math"/>
                  <w:i/>
                </w:rPr>
              </m:ctrlPr>
            </m:naryPr>
            <m:sub>
              <m:r>
                <w:rPr>
                  <w:rFonts w:ascii="Cambria Math" w:hAnsi="Cambria Math"/>
                </w:rPr>
                <m:t>m=1</m:t>
              </m:r>
            </m:sub>
            <m:sup>
              <m:r>
                <w:rPr>
                  <w:rFonts w:ascii="Cambria Math" w:hAnsi="Cambria Math"/>
                </w:rPr>
                <m:t>m</m:t>
              </m:r>
            </m:sup>
            <m:e>
              <m:sSub>
                <m:sSubPr>
                  <m:ctrlPr>
                    <w:rPr>
                      <w:rFonts w:ascii="Cambria Math" w:hAnsi="Cambria Math"/>
                      <w:i/>
                    </w:rPr>
                  </m:ctrlPr>
                </m:sSubPr>
                <m:e>
                  <m:r>
                    <w:rPr>
                      <w:rFonts w:ascii="Cambria Math" w:hAnsi="Cambria Math"/>
                    </w:rPr>
                    <m:t>x</m:t>
                  </m:r>
                </m:e>
                <m:sub>
                  <m:r>
                    <w:rPr>
                      <w:rFonts w:ascii="Cambria Math" w:hAnsi="Cambria Math"/>
                    </w:rPr>
                    <m:t>m</m:t>
                  </m:r>
                </m:sub>
              </m:sSub>
              <m:r>
                <w:rPr>
                  <w:rFonts w:ascii="Cambria Math" w:hAnsi="Cambria Math"/>
                </w:rPr>
                <m:t xml:space="preserve"> × </m:t>
              </m:r>
              <m:sSub>
                <m:sSubPr>
                  <m:ctrlPr>
                    <w:rPr>
                      <w:rFonts w:ascii="Cambria Math" w:hAnsi="Cambria Math"/>
                      <w:i/>
                    </w:rPr>
                  </m:ctrlPr>
                </m:sSubPr>
                <m:e>
                  <m:r>
                    <w:rPr>
                      <w:rFonts w:ascii="Cambria Math" w:hAnsi="Cambria Math"/>
                    </w:rPr>
                    <m:t>y</m:t>
                  </m:r>
                </m:e>
                <m:sub>
                  <m:r>
                    <w:rPr>
                      <w:rFonts w:ascii="Cambria Math" w:hAnsi="Cambria Math"/>
                    </w:rPr>
                    <m:t>m</m:t>
                  </m:r>
                </m:sub>
              </m:sSub>
            </m:e>
          </m:nary>
          <m:r>
            <w:rPr>
              <w:rFonts w:ascii="Cambria Math" w:hAnsi="Cambria Math"/>
            </w:rPr>
            <m:t xml:space="preserve">                      (S2)</m:t>
          </m:r>
        </m:oMath>
      </m:oMathPara>
    </w:p>
    <w:p w:rsidR="00982564" w:rsidRPr="00982564" w:rsidRDefault="00982564" w:rsidP="00982564"/>
    <w:p w:rsidR="00982564" w:rsidRPr="00982564" w:rsidRDefault="00982564" w:rsidP="00982564"/>
    <w:p w:rsidR="00982564" w:rsidRPr="00982564" w:rsidRDefault="00982564" w:rsidP="00982564">
      <m:oMathPara>
        <m:oMath>
          <m:sSub>
            <m:sSubPr>
              <m:ctrlPr>
                <w:rPr>
                  <w:rFonts w:ascii="Cambria Math" w:hAnsi="Cambria Math"/>
                  <w:i/>
                </w:rPr>
              </m:ctrlPr>
            </m:sSubPr>
            <m:e>
              <m:r>
                <w:rPr>
                  <w:rFonts w:ascii="Cambria Math" w:hAnsi="Cambria Math"/>
                </w:rPr>
                <m:t>EC</m:t>
              </m:r>
            </m:e>
            <m:sub>
              <m:r>
                <w:rPr>
                  <w:rFonts w:ascii="Cambria Math" w:hAnsi="Cambria Math"/>
                </w:rPr>
                <m:t>fn</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fn</m:t>
                  </m:r>
                </m:sub>
              </m:sSub>
            </m:num>
            <m:den>
              <m:sSub>
                <m:sSubPr>
                  <m:ctrlPr>
                    <w:rPr>
                      <w:rFonts w:ascii="Cambria Math" w:hAnsi="Cambria Math"/>
                      <w:i/>
                    </w:rPr>
                  </m:ctrlPr>
                </m:sSubPr>
                <m:e>
                  <m:r>
                    <w:rPr>
                      <w:rFonts w:ascii="Cambria Math" w:hAnsi="Cambria Math"/>
                    </w:rPr>
                    <m:t>x</m:t>
                  </m:r>
                </m:e>
                <m:sub>
                  <m:r>
                    <w:rPr>
                      <w:rFonts w:ascii="Cambria Math" w:hAnsi="Cambria Math"/>
                    </w:rPr>
                    <m:t>fn</m:t>
                  </m:r>
                </m:sub>
              </m:sSub>
            </m:den>
          </m:f>
          <m:r>
            <w:rPr>
              <w:rFonts w:ascii="Cambria Math" w:hAnsi="Cambria Math"/>
            </w:rPr>
            <m:t xml:space="preserve">                       (S3)</m:t>
          </m:r>
        </m:oMath>
      </m:oMathPara>
    </w:p>
    <w:p w:rsidR="00982564" w:rsidRPr="00982564" w:rsidRDefault="00982564" w:rsidP="00982564"/>
    <w:p w:rsidR="00982564" w:rsidRPr="00982564" w:rsidRDefault="00982564" w:rsidP="00982564">
      <w:pPr>
        <w:jc w:val="both"/>
      </w:pPr>
      <w:r w:rsidRPr="00982564">
        <w:t xml:space="preserve">In equation S1, S2 and S3, </w:t>
      </w:r>
      <w:proofErr w:type="spellStart"/>
      <w:proofErr w:type="gramStart"/>
      <w:r w:rsidRPr="00982564">
        <w:rPr>
          <w:i/>
        </w:rPr>
        <w:t>fn</w:t>
      </w:r>
      <w:proofErr w:type="spellEnd"/>
      <w:proofErr w:type="gramEnd"/>
      <w:r w:rsidRPr="00982564">
        <w:rPr>
          <w:i/>
        </w:rPr>
        <w:t xml:space="preserve"> </w:t>
      </w:r>
      <w:r w:rsidRPr="00982564">
        <w:t xml:space="preserve">stands for the main product which is the functional unit for our calculations. </w:t>
      </w:r>
      <w:proofErr w:type="spellStart"/>
      <w:proofErr w:type="gramStart"/>
      <w:r w:rsidRPr="00982564">
        <w:rPr>
          <w:i/>
        </w:rPr>
        <w:t>x</w:t>
      </w:r>
      <w:r w:rsidRPr="00982564">
        <w:rPr>
          <w:i/>
          <w:vertAlign w:val="subscript"/>
        </w:rPr>
        <w:t>fn</w:t>
      </w:r>
      <w:proofErr w:type="spellEnd"/>
      <w:proofErr w:type="gramEnd"/>
      <w:r w:rsidRPr="00982564">
        <w:t xml:space="preserve"> and </w:t>
      </w:r>
      <w:proofErr w:type="spellStart"/>
      <w:r w:rsidRPr="00982564">
        <w:rPr>
          <w:i/>
        </w:rPr>
        <w:t>y</w:t>
      </w:r>
      <w:r w:rsidRPr="00982564">
        <w:rPr>
          <w:i/>
          <w:vertAlign w:val="subscript"/>
        </w:rPr>
        <w:t>fn</w:t>
      </w:r>
      <w:proofErr w:type="spellEnd"/>
      <w:r w:rsidRPr="00982564">
        <w:t xml:space="preserve"> are the price and mass flows respectively of the main product while </w:t>
      </w:r>
      <w:proofErr w:type="spellStart"/>
      <w:r w:rsidRPr="00982564">
        <w:rPr>
          <w:i/>
        </w:rPr>
        <w:t>x</w:t>
      </w:r>
      <w:r w:rsidRPr="00982564">
        <w:rPr>
          <w:i/>
          <w:vertAlign w:val="subscript"/>
        </w:rPr>
        <w:t>n</w:t>
      </w:r>
      <w:proofErr w:type="spellEnd"/>
      <w:r w:rsidRPr="00982564">
        <w:t xml:space="preserve"> and </w:t>
      </w:r>
      <w:proofErr w:type="spellStart"/>
      <w:r w:rsidRPr="00982564">
        <w:rPr>
          <w:i/>
        </w:rPr>
        <w:t>y</w:t>
      </w:r>
      <w:r w:rsidRPr="00982564">
        <w:rPr>
          <w:i/>
          <w:vertAlign w:val="subscript"/>
        </w:rPr>
        <w:t>n</w:t>
      </w:r>
      <w:proofErr w:type="spellEnd"/>
      <w:r w:rsidRPr="00982564">
        <w:t xml:space="preserve"> are the respective price and mass flow of the </w:t>
      </w:r>
      <w:r w:rsidRPr="00982564">
        <w:rPr>
          <w:i/>
        </w:rPr>
        <w:t>n</w:t>
      </w:r>
      <w:r w:rsidRPr="00982564">
        <w:rPr>
          <w:i/>
          <w:vertAlign w:val="superscript"/>
        </w:rPr>
        <w:t>th</w:t>
      </w:r>
      <w:r w:rsidRPr="00982564">
        <w:t xml:space="preserve"> product. </w:t>
      </w:r>
      <w:proofErr w:type="spellStart"/>
      <w:r w:rsidRPr="00982564">
        <w:rPr>
          <w:i/>
        </w:rPr>
        <w:t>A</w:t>
      </w:r>
      <w:r w:rsidRPr="00982564">
        <w:rPr>
          <w:i/>
          <w:vertAlign w:val="subscript"/>
        </w:rPr>
        <w:t>fn</w:t>
      </w:r>
      <w:proofErr w:type="spellEnd"/>
      <w:r w:rsidRPr="00982564">
        <w:t xml:space="preserve"> is the allocation factor for allocating the costs to the main product. </w:t>
      </w:r>
      <w:proofErr w:type="spellStart"/>
      <w:proofErr w:type="gramStart"/>
      <w:r w:rsidRPr="00982564">
        <w:rPr>
          <w:i/>
        </w:rPr>
        <w:t>x</w:t>
      </w:r>
      <w:r w:rsidRPr="00982564">
        <w:rPr>
          <w:i/>
          <w:vertAlign w:val="subscript"/>
        </w:rPr>
        <w:t>m</w:t>
      </w:r>
      <w:proofErr w:type="spellEnd"/>
      <w:proofErr w:type="gramEnd"/>
      <w:r w:rsidRPr="00982564">
        <w:t xml:space="preserve"> and </w:t>
      </w:r>
      <w:proofErr w:type="spellStart"/>
      <w:r w:rsidRPr="00982564">
        <w:rPr>
          <w:i/>
        </w:rPr>
        <w:t>y</w:t>
      </w:r>
      <w:r w:rsidRPr="00982564">
        <w:rPr>
          <w:i/>
          <w:vertAlign w:val="subscript"/>
        </w:rPr>
        <w:t>m</w:t>
      </w:r>
      <w:proofErr w:type="spellEnd"/>
      <w:r w:rsidRPr="00982564">
        <w:t xml:space="preserve"> are the price and mass flows respectively of the </w:t>
      </w:r>
      <w:proofErr w:type="spellStart"/>
      <w:r w:rsidRPr="00982564">
        <w:rPr>
          <w:i/>
        </w:rPr>
        <w:t>m</w:t>
      </w:r>
      <w:r w:rsidRPr="00982564">
        <w:rPr>
          <w:i/>
          <w:vertAlign w:val="superscript"/>
        </w:rPr>
        <w:t>th</w:t>
      </w:r>
      <w:proofErr w:type="spellEnd"/>
      <w:r w:rsidRPr="00982564">
        <w:t xml:space="preserve"> raw material respectively. </w:t>
      </w:r>
      <w:proofErr w:type="spellStart"/>
      <w:proofErr w:type="gramStart"/>
      <w:r w:rsidRPr="00982564">
        <w:rPr>
          <w:i/>
        </w:rPr>
        <w:t>r</w:t>
      </w:r>
      <w:r w:rsidRPr="00982564">
        <w:rPr>
          <w:i/>
          <w:vertAlign w:val="subscript"/>
        </w:rPr>
        <w:t>fn</w:t>
      </w:r>
      <w:proofErr w:type="spellEnd"/>
      <w:proofErr w:type="gramEnd"/>
      <w:r w:rsidRPr="00982564">
        <w:t xml:space="preserve"> is the allocated raw material cost of the main product. Thus, EC gives the ratio of raw material cost of the main product to that of the market price of the main product. If one combines the three equations, one can see that the use of economic allocation results in the equation 1, which is used in the article. </w:t>
      </w:r>
    </w:p>
    <w:p w:rsidR="00982564" w:rsidRPr="00982564" w:rsidRDefault="00982564" w:rsidP="00982564"/>
    <w:p w:rsidR="00982564" w:rsidRPr="00982564" w:rsidRDefault="00982564" w:rsidP="00982564">
      <w:pPr>
        <w:pStyle w:val="Heading2"/>
        <w:rPr>
          <w:color w:val="auto"/>
        </w:rPr>
      </w:pPr>
      <w:r w:rsidRPr="00982564">
        <w:rPr>
          <w:color w:val="auto"/>
        </w:rPr>
        <w:t>EHS index calculation</w:t>
      </w:r>
    </w:p>
    <w:p w:rsidR="00982564" w:rsidRPr="00982564" w:rsidRDefault="00982564" w:rsidP="00982564"/>
    <w:p w:rsidR="00982564" w:rsidRPr="00982564" w:rsidRDefault="00982564" w:rsidP="00982564">
      <w:pPr>
        <w:jc w:val="both"/>
      </w:pPr>
      <w:r w:rsidRPr="00982564">
        <w:t>The EHS index is used to evaluate the inherent hazards associated with the chemical conversion. In estimation of the EHS index, the mass flows of all the chemicals (or representative chemicals) within the process are considered. This estimation methodology follows from the thesis of H. Sugiyama</w:t>
      </w:r>
      <w:r w:rsidRPr="00982564">
        <w:rPr>
          <w:vertAlign w:val="superscript"/>
        </w:rPr>
        <w:t>17</w:t>
      </w:r>
      <w:r w:rsidRPr="00982564">
        <w:t xml:space="preserve">. The process streams considered are as shown in figure 2 in the article. So overall the chemicals present in each of these 7 streams and their mass flows are taken into account. </w:t>
      </w:r>
    </w:p>
    <w:p w:rsidR="00982564" w:rsidRPr="00982564" w:rsidRDefault="00982564" w:rsidP="00982564">
      <w:pPr>
        <w:ind w:firstLine="720"/>
        <w:jc w:val="both"/>
      </w:pPr>
    </w:p>
    <w:p w:rsidR="00982564" w:rsidRPr="00982564" w:rsidRDefault="00982564" w:rsidP="00982564">
      <w:pPr>
        <w:ind w:firstLine="720"/>
        <w:jc w:val="both"/>
      </w:pPr>
      <w:r w:rsidRPr="00982564">
        <w:lastRenderedPageBreak/>
        <w:t xml:space="preserve">Equation 4 in the article represents the final calculation of the EHS index value. The estimation of </w:t>
      </w:r>
      <w:r w:rsidRPr="00982564">
        <w:rPr>
          <w:i/>
        </w:rPr>
        <w:t>E</w:t>
      </w:r>
      <w:r w:rsidRPr="00982564">
        <w:t xml:space="preserve">, </w:t>
      </w:r>
      <w:r w:rsidRPr="00982564">
        <w:rPr>
          <w:i/>
        </w:rPr>
        <w:t>H</w:t>
      </w:r>
      <w:r w:rsidRPr="00982564">
        <w:t xml:space="preserve"> and </w:t>
      </w:r>
      <w:r w:rsidRPr="00982564">
        <w:rPr>
          <w:i/>
        </w:rPr>
        <w:t>S</w:t>
      </w:r>
      <w:r w:rsidRPr="00982564">
        <w:t xml:space="preserve"> scores in this equation is based on the following equations and chemical hazard indices. These equations and hazard indices are based on the thesis of H. Sugiyama</w:t>
      </w:r>
      <w:r w:rsidRPr="00982564">
        <w:rPr>
          <w:vertAlign w:val="superscript"/>
        </w:rPr>
        <w:t>17</w:t>
      </w:r>
      <w:r w:rsidRPr="00982564">
        <w:t xml:space="preserve"> and have been reproduced with permission. </w:t>
      </w:r>
    </w:p>
    <w:p w:rsidR="00982564" w:rsidRPr="00982564" w:rsidRDefault="00982564" w:rsidP="00982564">
      <w:pPr>
        <w:jc w:val="both"/>
      </w:pPr>
    </w:p>
    <w:p w:rsidR="00982564" w:rsidRPr="00982564" w:rsidRDefault="00982564" w:rsidP="00982564">
      <w:pPr>
        <w:ind w:firstLine="720"/>
        <w:jc w:val="both"/>
      </w:pPr>
      <w:r w:rsidRPr="00982564">
        <w:t>The calculation of environment index (</w:t>
      </w:r>
      <w:r w:rsidRPr="00982564">
        <w:rPr>
          <w:i/>
        </w:rPr>
        <w:t>E</w:t>
      </w:r>
      <w:r w:rsidRPr="00982564">
        <w:t>) is based on four sub-categories (</w:t>
      </w:r>
      <w:proofErr w:type="spellStart"/>
      <w:proofErr w:type="gramStart"/>
      <w:r w:rsidRPr="00982564">
        <w:rPr>
          <w:i/>
        </w:rPr>
        <w:t>cE</w:t>
      </w:r>
      <w:proofErr w:type="spellEnd"/>
      <w:proofErr w:type="gramEnd"/>
      <w:r w:rsidRPr="00982564">
        <w:t xml:space="preserve">) that include persistency, air hazard, water hazard and solid waste. In equation S4, </w:t>
      </w:r>
      <m:oMath>
        <m:sSubSup>
          <m:sSubSupPr>
            <m:ctrlPr>
              <w:rPr>
                <w:rFonts w:ascii="Cambria Math" w:hAnsi="Cambria Math"/>
                <w:i/>
              </w:rPr>
            </m:ctrlPr>
          </m:sSubSupPr>
          <m:e>
            <m:r>
              <w:rPr>
                <w:rFonts w:ascii="Cambria Math" w:hAnsi="Cambria Math"/>
              </w:rPr>
              <m:t>m</m:t>
            </m:r>
          </m:e>
          <m:sub>
            <m:r>
              <w:rPr>
                <w:rFonts w:ascii="Cambria Math" w:hAnsi="Cambria Math"/>
              </w:rPr>
              <m:t>k</m:t>
            </m:r>
          </m:sub>
          <m:sup>
            <m:r>
              <w:rPr>
                <w:rFonts w:ascii="Cambria Math" w:hAnsi="Cambria Math"/>
              </w:rPr>
              <m:t>F</m:t>
            </m:r>
          </m:sup>
        </m:sSubSup>
      </m:oMath>
      <w:r w:rsidRPr="00982564">
        <w:t xml:space="preserve"> is the specific mass flow of </w:t>
      </w:r>
      <w:proofErr w:type="spellStart"/>
      <w:r w:rsidRPr="00982564">
        <w:rPr>
          <w:i/>
        </w:rPr>
        <w:t>k</w:t>
      </w:r>
      <w:r w:rsidRPr="00982564">
        <w:rPr>
          <w:i/>
          <w:vertAlign w:val="superscript"/>
        </w:rPr>
        <w:t>th</w:t>
      </w:r>
      <w:proofErr w:type="spellEnd"/>
      <w:r w:rsidRPr="00982564">
        <w:t xml:space="preserve"> chemical in the flow </w:t>
      </w:r>
      <w:r w:rsidRPr="00982564">
        <w:rPr>
          <w:i/>
        </w:rPr>
        <w:t>F</w:t>
      </w:r>
      <w:r w:rsidRPr="00982564">
        <w:t xml:space="preserve">. The specific mass flow is the mass flow of the particular chemical per unit mass of the main product (flow F6) (kg/kg product). </w:t>
      </w:r>
      <m:oMath>
        <m:sSubSup>
          <m:sSubSupPr>
            <m:ctrlPr>
              <w:rPr>
                <w:rFonts w:ascii="Cambria Math" w:hAnsi="Cambria Math"/>
                <w:i/>
              </w:rPr>
            </m:ctrlPr>
          </m:sSubSupPr>
          <m:e>
            <m:r>
              <w:rPr>
                <w:rFonts w:ascii="Cambria Math" w:hAnsi="Cambria Math"/>
              </w:rPr>
              <m:t>I</m:t>
            </m:r>
          </m:e>
          <m:sub>
            <m:r>
              <w:rPr>
                <w:rFonts w:ascii="Cambria Math" w:hAnsi="Cambria Math"/>
              </w:rPr>
              <m:t>k</m:t>
            </m:r>
          </m:sub>
          <m:sup>
            <m:r>
              <w:rPr>
                <w:rFonts w:ascii="Cambria Math" w:hAnsi="Cambria Math"/>
              </w:rPr>
              <m:t>cE</m:t>
            </m:r>
          </m:sup>
        </m:sSubSup>
      </m:oMath>
      <w:r w:rsidRPr="00982564">
        <w:t xml:space="preserve"> </w:t>
      </w:r>
      <w:proofErr w:type="gramStart"/>
      <w:r w:rsidRPr="00982564">
        <w:t>is</w:t>
      </w:r>
      <w:proofErr w:type="gramEnd"/>
      <w:r w:rsidRPr="00982564">
        <w:t xml:space="preserve"> the hazard index value of the </w:t>
      </w:r>
      <w:proofErr w:type="spellStart"/>
      <w:r w:rsidRPr="00982564">
        <w:rPr>
          <w:i/>
        </w:rPr>
        <w:t>k</w:t>
      </w:r>
      <w:r w:rsidRPr="00982564">
        <w:rPr>
          <w:i/>
          <w:vertAlign w:val="superscript"/>
        </w:rPr>
        <w:t>th</w:t>
      </w:r>
      <w:proofErr w:type="spellEnd"/>
      <w:r w:rsidRPr="00982564">
        <w:t xml:space="preserve"> chemical in the relevant sub-category. </w:t>
      </w:r>
      <w:proofErr w:type="gramStart"/>
      <w:r w:rsidRPr="00982564">
        <w:rPr>
          <w:i/>
        </w:rPr>
        <w:t>z</w:t>
      </w:r>
      <w:proofErr w:type="gramEnd"/>
      <w:r w:rsidRPr="00982564">
        <w:t xml:space="preserve"> is the fraction of overall mass emitted to the environment in case of an accident.  </w:t>
      </w:r>
      <m:oMath>
        <m:sSubSup>
          <m:sSubSupPr>
            <m:ctrlPr>
              <w:rPr>
                <w:rFonts w:ascii="Cambria Math" w:hAnsi="Cambria Math"/>
                <w:i/>
              </w:rPr>
            </m:ctrlPr>
          </m:sSubSupPr>
          <m:e>
            <m:r>
              <w:rPr>
                <w:rFonts w:ascii="Cambria Math" w:hAnsi="Cambria Math"/>
              </w:rPr>
              <m:t>m</m:t>
            </m:r>
          </m:e>
          <m:sub>
            <m:r>
              <w:rPr>
                <w:rFonts w:ascii="Cambria Math" w:hAnsi="Cambria Math"/>
              </w:rPr>
              <m:t>k</m:t>
            </m:r>
          </m:sub>
          <m:sup>
            <m:r>
              <w:rPr>
                <w:rFonts w:ascii="Cambria Math" w:hAnsi="Cambria Math"/>
              </w:rPr>
              <m:t>Out</m:t>
            </m:r>
          </m:sup>
        </m:sSubSup>
      </m:oMath>
      <w:r w:rsidRPr="00982564">
        <w:t xml:space="preserve"> </w:t>
      </w:r>
      <w:proofErr w:type="gramStart"/>
      <w:r w:rsidRPr="00982564">
        <w:t>is</w:t>
      </w:r>
      <w:proofErr w:type="gramEnd"/>
      <w:r w:rsidRPr="00982564">
        <w:t xml:space="preserve"> the specific mass flow of the </w:t>
      </w:r>
      <w:proofErr w:type="spellStart"/>
      <w:r w:rsidRPr="00982564">
        <w:rPr>
          <w:i/>
        </w:rPr>
        <w:t>k</w:t>
      </w:r>
      <w:r w:rsidRPr="00982564">
        <w:rPr>
          <w:i/>
          <w:vertAlign w:val="superscript"/>
        </w:rPr>
        <w:t>th</w:t>
      </w:r>
      <w:proofErr w:type="spellEnd"/>
      <w:r w:rsidRPr="00982564">
        <w:t xml:space="preserve"> chemical leaving the process as waste through flow F7. </w:t>
      </w:r>
    </w:p>
    <w:p w:rsidR="00982564" w:rsidRPr="00982564" w:rsidRDefault="00982564" w:rsidP="00982564"/>
    <w:p w:rsidR="00982564" w:rsidRPr="00982564" w:rsidRDefault="00982564" w:rsidP="00982564">
      <m:oMathPara>
        <m:oMath>
          <m:r>
            <w:rPr>
              <w:rFonts w:ascii="Cambria Math" w:hAnsi="Cambria Math"/>
            </w:rPr>
            <m:t xml:space="preserve">E= </m:t>
          </m:r>
          <m:nary>
            <m:naryPr>
              <m:chr m:val="∑"/>
              <m:limLoc m:val="undOvr"/>
              <m:ctrlPr>
                <w:rPr>
                  <w:rFonts w:ascii="Cambria Math" w:hAnsi="Cambria Math"/>
                  <w:i/>
                </w:rPr>
              </m:ctrlPr>
            </m:naryPr>
            <m:sub>
              <m:r>
                <w:rPr>
                  <w:rFonts w:ascii="Cambria Math" w:hAnsi="Cambria Math"/>
                </w:rPr>
                <m:t>cE=1</m:t>
              </m:r>
            </m:sub>
            <m:sup>
              <m:r>
                <w:rPr>
                  <w:rFonts w:ascii="Cambria Math" w:hAnsi="Cambria Math"/>
                </w:rPr>
                <m:t>4</m:t>
              </m:r>
            </m:sup>
            <m:e>
              <m:nary>
                <m:naryPr>
                  <m:chr m:val="∑"/>
                  <m:limLoc m:val="undOvr"/>
                  <m:ctrlPr>
                    <w:rPr>
                      <w:rFonts w:ascii="Cambria Math" w:hAnsi="Cambria Math"/>
                      <w:i/>
                    </w:rPr>
                  </m:ctrlPr>
                </m:naryPr>
                <m:sub>
                  <m:r>
                    <w:rPr>
                      <w:rFonts w:ascii="Cambria Math" w:hAnsi="Cambria Math"/>
                    </w:rPr>
                    <m:t>k=1</m:t>
                  </m:r>
                </m:sub>
                <m:sup>
                  <m:r>
                    <w:rPr>
                      <w:rFonts w:ascii="Cambria Math" w:hAnsi="Cambria Math"/>
                    </w:rPr>
                    <m:t>k</m:t>
                  </m:r>
                </m:sup>
                <m:e>
                  <m:d>
                    <m:dPr>
                      <m:begChr m:val="["/>
                      <m:endChr m:val="]"/>
                      <m:ctrlPr>
                        <w:rPr>
                          <w:rFonts w:ascii="Cambria Math" w:hAnsi="Cambria Math"/>
                          <w:i/>
                        </w:rPr>
                      </m:ctrlPr>
                    </m:dPr>
                    <m:e>
                      <m:r>
                        <w:rPr>
                          <w:rFonts w:ascii="Cambria Math" w:hAnsi="Cambria Math"/>
                        </w:rPr>
                        <m:t>z×</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F</m:t>
                              </m:r>
                            </m:lim>
                          </m:limLow>
                        </m:fName>
                        <m:e>
                          <m:d>
                            <m:dPr>
                              <m:ctrlPr>
                                <w:rPr>
                                  <w:rFonts w:ascii="Cambria Math" w:hAnsi="Cambria Math"/>
                                  <w:i/>
                                </w:rPr>
                              </m:ctrlPr>
                            </m:dPr>
                            <m:e>
                              <m:sSubSup>
                                <m:sSubSupPr>
                                  <m:ctrlPr>
                                    <w:rPr>
                                      <w:rFonts w:ascii="Cambria Math" w:hAnsi="Cambria Math"/>
                                      <w:i/>
                                    </w:rPr>
                                  </m:ctrlPr>
                                </m:sSubSupPr>
                                <m:e>
                                  <m:r>
                                    <w:rPr>
                                      <w:rFonts w:ascii="Cambria Math" w:hAnsi="Cambria Math"/>
                                    </w:rPr>
                                    <m:t>m</m:t>
                                  </m:r>
                                </m:e>
                                <m:sub>
                                  <m:r>
                                    <w:rPr>
                                      <w:rFonts w:ascii="Cambria Math" w:hAnsi="Cambria Math"/>
                                    </w:rPr>
                                    <m:t>k</m:t>
                                  </m:r>
                                </m:sub>
                                <m:sup>
                                  <m:r>
                                    <w:rPr>
                                      <w:rFonts w:ascii="Cambria Math" w:hAnsi="Cambria Math"/>
                                    </w:rPr>
                                    <m:t>F</m:t>
                                  </m:r>
                                </m:sup>
                              </m:sSubSup>
                            </m:e>
                          </m:d>
                          <m:r>
                            <w:rPr>
                              <w:rFonts w:ascii="Cambria Math" w:hAnsi="Cambria Math"/>
                            </w:rPr>
                            <m:t>×</m:t>
                          </m:r>
                          <m:sSubSup>
                            <m:sSubSupPr>
                              <m:ctrlPr>
                                <w:rPr>
                                  <w:rFonts w:ascii="Cambria Math" w:hAnsi="Cambria Math"/>
                                  <w:i/>
                                </w:rPr>
                              </m:ctrlPr>
                            </m:sSubSupPr>
                            <m:e>
                              <m:r>
                                <w:rPr>
                                  <w:rFonts w:ascii="Cambria Math" w:hAnsi="Cambria Math"/>
                                </w:rPr>
                                <m:t>I</m:t>
                              </m:r>
                            </m:e>
                            <m:sub>
                              <m:r>
                                <w:rPr>
                                  <w:rFonts w:ascii="Cambria Math" w:hAnsi="Cambria Math"/>
                                </w:rPr>
                                <m:t>k</m:t>
                              </m:r>
                            </m:sub>
                            <m:sup>
                              <m:r>
                                <w:rPr>
                                  <w:rFonts w:ascii="Cambria Math" w:hAnsi="Cambria Math"/>
                                </w:rPr>
                                <m:t>cE</m:t>
                              </m:r>
                            </m:sup>
                          </m:sSubSup>
                        </m:e>
                      </m:func>
                    </m:e>
                  </m:d>
                </m:e>
              </m:nary>
            </m:e>
          </m:nary>
          <m:r>
            <w:rPr>
              <w:rFonts w:ascii="Cambria Math" w:hAnsi="Cambria Math"/>
            </w:rPr>
            <m:t xml:space="preserve">+ </m:t>
          </m:r>
          <m:nary>
            <m:naryPr>
              <m:chr m:val="∑"/>
              <m:limLoc m:val="undOvr"/>
              <m:ctrlPr>
                <w:rPr>
                  <w:rFonts w:ascii="Cambria Math" w:hAnsi="Cambria Math"/>
                  <w:i/>
                </w:rPr>
              </m:ctrlPr>
            </m:naryPr>
            <m:sub>
              <m:r>
                <w:rPr>
                  <w:rFonts w:ascii="Cambria Math" w:hAnsi="Cambria Math"/>
                </w:rPr>
                <m:t>cE=1</m:t>
              </m:r>
            </m:sub>
            <m:sup>
              <m:r>
                <w:rPr>
                  <w:rFonts w:ascii="Cambria Math" w:hAnsi="Cambria Math"/>
                </w:rPr>
                <m:t>4</m:t>
              </m:r>
            </m:sup>
            <m:e>
              <m:nary>
                <m:naryPr>
                  <m:chr m:val="∑"/>
                  <m:limLoc m:val="undOvr"/>
                  <m:ctrlPr>
                    <w:rPr>
                      <w:rFonts w:ascii="Cambria Math" w:hAnsi="Cambria Math"/>
                      <w:i/>
                    </w:rPr>
                  </m:ctrlPr>
                </m:naryPr>
                <m:sub>
                  <m:r>
                    <w:rPr>
                      <w:rFonts w:ascii="Cambria Math" w:hAnsi="Cambria Math"/>
                    </w:rPr>
                    <m:t>k=1</m:t>
                  </m:r>
                </m:sub>
                <m:sup>
                  <m:r>
                    <w:rPr>
                      <w:rFonts w:ascii="Cambria Math" w:hAnsi="Cambria Math"/>
                    </w:rPr>
                    <m:t>k</m:t>
                  </m:r>
                </m:sup>
                <m:e>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m</m:t>
                          </m:r>
                        </m:e>
                        <m:sub>
                          <m:r>
                            <w:rPr>
                              <w:rFonts w:ascii="Cambria Math" w:hAnsi="Cambria Math"/>
                            </w:rPr>
                            <m:t>k</m:t>
                          </m:r>
                        </m:sub>
                        <m:sup>
                          <m:r>
                            <w:rPr>
                              <w:rFonts w:ascii="Cambria Math" w:hAnsi="Cambria Math"/>
                            </w:rPr>
                            <m:t>Out</m:t>
                          </m:r>
                        </m:sup>
                      </m:sSubSup>
                      <m:r>
                        <w:rPr>
                          <w:rFonts w:ascii="Cambria Math" w:hAnsi="Cambria Math"/>
                        </w:rPr>
                        <m:t>×</m:t>
                      </m:r>
                      <m:sSubSup>
                        <m:sSubSupPr>
                          <m:ctrlPr>
                            <w:rPr>
                              <w:rFonts w:ascii="Cambria Math" w:hAnsi="Cambria Math"/>
                              <w:i/>
                            </w:rPr>
                          </m:ctrlPr>
                        </m:sSubSupPr>
                        <m:e>
                          <m:r>
                            <w:rPr>
                              <w:rFonts w:ascii="Cambria Math" w:hAnsi="Cambria Math"/>
                            </w:rPr>
                            <m:t>I</m:t>
                          </m:r>
                        </m:e>
                        <m:sub>
                          <m:r>
                            <w:rPr>
                              <w:rFonts w:ascii="Cambria Math" w:hAnsi="Cambria Math"/>
                            </w:rPr>
                            <m:t>k</m:t>
                          </m:r>
                        </m:sub>
                        <m:sup>
                          <m:r>
                            <w:rPr>
                              <w:rFonts w:ascii="Cambria Math" w:hAnsi="Cambria Math"/>
                            </w:rPr>
                            <m:t>cE</m:t>
                          </m:r>
                        </m:sup>
                      </m:sSubSup>
                    </m:e>
                  </m:d>
                </m:e>
              </m:nary>
            </m:e>
          </m:nary>
          <m:r>
            <w:rPr>
              <w:rFonts w:ascii="Cambria Math" w:hAnsi="Cambria Math"/>
            </w:rPr>
            <m:t xml:space="preserve">           (S4)</m:t>
          </m:r>
        </m:oMath>
      </m:oMathPara>
    </w:p>
    <w:p w:rsidR="00982564" w:rsidRPr="00982564" w:rsidRDefault="00982564" w:rsidP="00982564"/>
    <w:p w:rsidR="00982564" w:rsidRPr="00982564" w:rsidRDefault="00982564" w:rsidP="00982564">
      <w:r w:rsidRPr="00982564">
        <w:t>The hazard index value in different environment sub-categories is calculated based on the scales shown in figure S1.</w:t>
      </w:r>
    </w:p>
    <w:p w:rsidR="00982564" w:rsidRPr="00982564" w:rsidRDefault="00982564" w:rsidP="00982564"/>
    <w:p w:rsidR="00982564" w:rsidRPr="00982564" w:rsidRDefault="00982564" w:rsidP="00982564">
      <w:r w:rsidRPr="00982564">
        <w:object w:dxaOrig="9686" w:dyaOrig="47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95pt;height:202.75pt" o:ole="">
            <v:imagedata r:id="rId7" o:title=""/>
          </v:shape>
          <o:OLEObject Type="Embed" ProgID="Visio.Drawing.11" ShapeID="_x0000_i1025" DrawAspect="Content" ObjectID="_1540018605" r:id="rId8"/>
        </w:object>
      </w:r>
    </w:p>
    <w:p w:rsidR="00982564" w:rsidRPr="00982564" w:rsidRDefault="00982564" w:rsidP="00982564">
      <w:pPr>
        <w:pStyle w:val="Caption"/>
      </w:pPr>
      <w:r w:rsidRPr="00982564">
        <w:t>Figure S1: Hazard index values for sub-categories in environment index (</w:t>
      </w:r>
      <w:r w:rsidRPr="00982564">
        <w:rPr>
          <w:i/>
        </w:rPr>
        <w:t>E</w:t>
      </w:r>
      <w:r w:rsidRPr="00982564">
        <w:t xml:space="preserve">) </w:t>
      </w:r>
    </w:p>
    <w:p w:rsidR="00982564" w:rsidRPr="00982564" w:rsidRDefault="00982564" w:rsidP="00982564">
      <w:pPr>
        <w:ind w:firstLine="720"/>
        <w:jc w:val="both"/>
      </w:pPr>
      <w:r w:rsidRPr="00982564">
        <w:t>The health index (</w:t>
      </w:r>
      <w:r w:rsidRPr="00982564">
        <w:rPr>
          <w:i/>
        </w:rPr>
        <w:t>H</w:t>
      </w:r>
      <w:r w:rsidRPr="00982564">
        <w:t>) is based on two sub-categories (</w:t>
      </w:r>
      <w:proofErr w:type="spellStart"/>
      <w:r w:rsidRPr="00982564">
        <w:rPr>
          <w:i/>
        </w:rPr>
        <w:t>cH</w:t>
      </w:r>
      <w:proofErr w:type="spellEnd"/>
      <w:r w:rsidRPr="00982564">
        <w:t xml:space="preserve">) that include irritation and chronic toxicity. In equation S5, </w:t>
      </w:r>
      <m:oMath>
        <m:sSubSup>
          <m:sSubSupPr>
            <m:ctrlPr>
              <w:rPr>
                <w:rFonts w:ascii="Cambria Math" w:hAnsi="Cambria Math"/>
                <w:i/>
              </w:rPr>
            </m:ctrlPr>
          </m:sSubSupPr>
          <m:e>
            <m:r>
              <w:rPr>
                <w:rFonts w:ascii="Cambria Math" w:hAnsi="Cambria Math"/>
              </w:rPr>
              <m:t>m</m:t>
            </m:r>
          </m:e>
          <m:sub>
            <m:r>
              <w:rPr>
                <w:rFonts w:ascii="Cambria Math" w:hAnsi="Cambria Math"/>
              </w:rPr>
              <m:t>k</m:t>
            </m:r>
          </m:sub>
          <m:sup>
            <m:r>
              <w:rPr>
                <w:rFonts w:ascii="Cambria Math" w:hAnsi="Cambria Math"/>
              </w:rPr>
              <m:t>un</m:t>
            </m:r>
          </m:sup>
        </m:sSubSup>
      </m:oMath>
      <w:r w:rsidRPr="00982564">
        <w:t xml:space="preserve"> is unit mass (</w:t>
      </w:r>
      <w:proofErr w:type="gramStart"/>
      <w:r w:rsidRPr="00982564">
        <w:rPr>
          <w:i/>
        </w:rPr>
        <w:t>un</w:t>
      </w:r>
      <w:proofErr w:type="gramEnd"/>
      <w:r w:rsidRPr="00982564">
        <w:t xml:space="preserve">) and is equal to 1, while </w:t>
      </w:r>
      <m:oMath>
        <m:sSubSup>
          <m:sSubSupPr>
            <m:ctrlPr>
              <w:rPr>
                <w:rFonts w:ascii="Cambria Math" w:hAnsi="Cambria Math"/>
                <w:i/>
              </w:rPr>
            </m:ctrlPr>
          </m:sSubSupPr>
          <m:e>
            <m:r>
              <w:rPr>
                <w:rFonts w:ascii="Cambria Math" w:hAnsi="Cambria Math"/>
              </w:rPr>
              <m:t>I</m:t>
            </m:r>
          </m:e>
          <m:sub>
            <m:r>
              <w:rPr>
                <w:rFonts w:ascii="Cambria Math" w:hAnsi="Cambria Math"/>
              </w:rPr>
              <m:t>k</m:t>
            </m:r>
          </m:sub>
          <m:sup>
            <m:r>
              <w:rPr>
                <w:rFonts w:ascii="Cambria Math" w:hAnsi="Cambria Math"/>
              </w:rPr>
              <m:t>cH</m:t>
            </m:r>
          </m:sup>
        </m:sSubSup>
      </m:oMath>
      <w:r w:rsidRPr="00982564">
        <w:t xml:space="preserve"> is the hazard index value of the </w:t>
      </w:r>
      <w:proofErr w:type="spellStart"/>
      <w:r w:rsidRPr="00982564">
        <w:rPr>
          <w:i/>
        </w:rPr>
        <w:t>k</w:t>
      </w:r>
      <w:r w:rsidRPr="00982564">
        <w:rPr>
          <w:i/>
          <w:vertAlign w:val="superscript"/>
        </w:rPr>
        <w:t>th</w:t>
      </w:r>
      <w:proofErr w:type="spellEnd"/>
      <w:r w:rsidRPr="00982564">
        <w:t xml:space="preserve"> chemical in the relevant sub-category. </w:t>
      </w:r>
    </w:p>
    <w:p w:rsidR="00982564" w:rsidRPr="00982564" w:rsidRDefault="00982564" w:rsidP="00982564">
      <w:pPr>
        <w:jc w:val="both"/>
      </w:pPr>
    </w:p>
    <w:p w:rsidR="00982564" w:rsidRPr="00982564" w:rsidRDefault="00982564" w:rsidP="00982564">
      <w:pPr>
        <w:jc w:val="both"/>
      </w:pPr>
      <m:oMathPara>
        <m:oMath>
          <m:r>
            <w:rPr>
              <w:rFonts w:ascii="Cambria Math" w:hAnsi="Cambria Math"/>
            </w:rPr>
            <m:t xml:space="preserve">H= </m:t>
          </m:r>
          <m:nary>
            <m:naryPr>
              <m:chr m:val="∑"/>
              <m:limLoc m:val="undOvr"/>
              <m:ctrlPr>
                <w:rPr>
                  <w:rFonts w:ascii="Cambria Math" w:hAnsi="Cambria Math"/>
                  <w:i/>
                </w:rPr>
              </m:ctrlPr>
            </m:naryPr>
            <m:sub>
              <m:r>
                <w:rPr>
                  <w:rFonts w:ascii="Cambria Math" w:hAnsi="Cambria Math"/>
                </w:rPr>
                <m:t>cH=1</m:t>
              </m:r>
            </m:sub>
            <m:sup>
              <m:r>
                <w:rPr>
                  <w:rFonts w:ascii="Cambria Math" w:hAnsi="Cambria Math"/>
                </w:rPr>
                <m:t>2</m:t>
              </m:r>
            </m:sup>
            <m:e>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k</m:t>
                      </m:r>
                    </m:lim>
                  </m:limLow>
                </m:fName>
                <m:e>
                  <m:d>
                    <m:dPr>
                      <m:begChr m:val="["/>
                      <m:endChr m:val="]"/>
                      <m:ctrlPr>
                        <w:rPr>
                          <w:rFonts w:ascii="Cambria Math" w:hAnsi="Cambria Math"/>
                          <w:i/>
                        </w:rPr>
                      </m:ctrlPr>
                    </m:dPr>
                    <m:e>
                      <m:sSubSup>
                        <m:sSubSupPr>
                          <m:ctrlPr>
                            <w:rPr>
                              <w:rFonts w:ascii="Cambria Math" w:hAnsi="Cambria Math"/>
                              <w:i/>
                            </w:rPr>
                          </m:ctrlPr>
                        </m:sSubSupPr>
                        <m:e>
                          <m:r>
                            <w:rPr>
                              <w:rFonts w:ascii="Cambria Math" w:hAnsi="Cambria Math"/>
                            </w:rPr>
                            <m:t>m</m:t>
                          </m:r>
                        </m:e>
                        <m:sub>
                          <m:r>
                            <w:rPr>
                              <w:rFonts w:ascii="Cambria Math" w:hAnsi="Cambria Math"/>
                            </w:rPr>
                            <m:t>k</m:t>
                          </m:r>
                        </m:sub>
                        <m:sup>
                          <m:r>
                            <w:rPr>
                              <w:rFonts w:ascii="Cambria Math" w:hAnsi="Cambria Math"/>
                            </w:rPr>
                            <m:t>UN</m:t>
                          </m:r>
                        </m:sup>
                      </m:sSubSup>
                      <m:r>
                        <w:rPr>
                          <w:rFonts w:ascii="Cambria Math" w:hAnsi="Cambria Math"/>
                        </w:rPr>
                        <m:t>×</m:t>
                      </m:r>
                      <m:sSubSup>
                        <m:sSubSupPr>
                          <m:ctrlPr>
                            <w:rPr>
                              <w:rFonts w:ascii="Cambria Math" w:hAnsi="Cambria Math"/>
                              <w:i/>
                            </w:rPr>
                          </m:ctrlPr>
                        </m:sSubSupPr>
                        <m:e>
                          <m:r>
                            <w:rPr>
                              <w:rFonts w:ascii="Cambria Math" w:hAnsi="Cambria Math"/>
                            </w:rPr>
                            <m:t>I</m:t>
                          </m:r>
                        </m:e>
                        <m:sub>
                          <m:r>
                            <w:rPr>
                              <w:rFonts w:ascii="Cambria Math" w:hAnsi="Cambria Math"/>
                            </w:rPr>
                            <m:t>k</m:t>
                          </m:r>
                        </m:sub>
                        <m:sup>
                          <m:r>
                            <w:rPr>
                              <w:rFonts w:ascii="Cambria Math" w:hAnsi="Cambria Math"/>
                            </w:rPr>
                            <m:t>cH</m:t>
                          </m:r>
                        </m:sup>
                      </m:sSubSup>
                    </m:e>
                  </m:d>
                </m:e>
              </m:func>
            </m:e>
          </m:nary>
          <m:r>
            <w:rPr>
              <w:rFonts w:ascii="Cambria Math" w:hAnsi="Cambria Math"/>
            </w:rPr>
            <m:t xml:space="preserve">                    </m:t>
          </m:r>
          <w:bookmarkStart w:id="0" w:name="OLE_LINK1"/>
          <w:bookmarkStart w:id="1" w:name="OLE_LINK2"/>
          <m:r>
            <w:rPr>
              <w:rFonts w:ascii="Cambria Math" w:hAnsi="Cambria Math"/>
            </w:rPr>
            <m:t>(S5)</m:t>
          </m:r>
        </m:oMath>
      </m:oMathPara>
      <w:bookmarkEnd w:id="0"/>
      <w:bookmarkEnd w:id="1"/>
    </w:p>
    <w:p w:rsidR="00982564" w:rsidRPr="00982564" w:rsidRDefault="00982564" w:rsidP="00982564">
      <w:pPr>
        <w:jc w:val="both"/>
      </w:pPr>
    </w:p>
    <w:p w:rsidR="00982564" w:rsidRPr="00982564" w:rsidRDefault="00982564" w:rsidP="00982564">
      <w:pPr>
        <w:jc w:val="both"/>
      </w:pPr>
      <w:r w:rsidRPr="00982564">
        <w:t>The hazard index value in different health sub-categories is calculated based on the scales shown in figure S2.</w:t>
      </w:r>
    </w:p>
    <w:p w:rsidR="00982564" w:rsidRPr="00982564" w:rsidRDefault="00982564" w:rsidP="00982564"/>
    <w:p w:rsidR="00982564" w:rsidRPr="00982564" w:rsidRDefault="00982564" w:rsidP="00982564">
      <w:r w:rsidRPr="00982564">
        <w:object w:dxaOrig="9686" w:dyaOrig="5788">
          <v:shape id="_x0000_i1026" type="#_x0000_t75" style="width:414.95pt;height:248.2pt" o:ole="">
            <v:imagedata r:id="rId9" o:title=""/>
          </v:shape>
          <o:OLEObject Type="Embed" ProgID="Visio.Drawing.11" ShapeID="_x0000_i1026" DrawAspect="Content" ObjectID="_1540018606" r:id="rId10"/>
        </w:object>
      </w:r>
      <w:r w:rsidRPr="00982564">
        <w:t xml:space="preserve"> </w:t>
      </w:r>
    </w:p>
    <w:p w:rsidR="00982564" w:rsidRPr="00982564" w:rsidRDefault="00982564" w:rsidP="00982564">
      <w:pPr>
        <w:pStyle w:val="Caption"/>
      </w:pPr>
      <w:r w:rsidRPr="00982564">
        <w:t>Figure S2: Hazard index values for sub-categories in health index (</w:t>
      </w:r>
      <w:r w:rsidRPr="00982564">
        <w:rPr>
          <w:i/>
        </w:rPr>
        <w:t>H</w:t>
      </w:r>
      <w:r w:rsidRPr="00982564">
        <w:t>)</w:t>
      </w:r>
    </w:p>
    <w:p w:rsidR="00982564" w:rsidRPr="00982564" w:rsidRDefault="00982564" w:rsidP="00982564">
      <w:pPr>
        <w:ind w:firstLine="720"/>
        <w:jc w:val="both"/>
      </w:pPr>
      <w:r w:rsidRPr="00982564">
        <w:t>The estimation of safety index (</w:t>
      </w:r>
      <w:r w:rsidRPr="00982564">
        <w:rPr>
          <w:i/>
        </w:rPr>
        <w:t>S</w:t>
      </w:r>
      <w:r w:rsidRPr="00982564">
        <w:t>) is based on four sub-categories (</w:t>
      </w:r>
      <w:proofErr w:type="spellStart"/>
      <w:r w:rsidRPr="00982564">
        <w:rPr>
          <w:i/>
        </w:rPr>
        <w:t>cS</w:t>
      </w:r>
      <w:proofErr w:type="spellEnd"/>
      <w:r w:rsidRPr="00982564">
        <w:t xml:space="preserve">) that include mobility, fire/explosion, reaction/decomposition and acute toxicity. In equation S6, </w:t>
      </w:r>
      <m:oMath>
        <m:sSubSup>
          <m:sSubSupPr>
            <m:ctrlPr>
              <w:rPr>
                <w:rFonts w:ascii="Cambria Math" w:hAnsi="Cambria Math"/>
                <w:i/>
              </w:rPr>
            </m:ctrlPr>
          </m:sSubSupPr>
          <m:e>
            <m:r>
              <w:rPr>
                <w:rFonts w:ascii="Cambria Math" w:hAnsi="Cambria Math"/>
              </w:rPr>
              <m:t>m</m:t>
            </m:r>
          </m:e>
          <m:sub>
            <m:r>
              <w:rPr>
                <w:rFonts w:ascii="Cambria Math" w:hAnsi="Cambria Math"/>
              </w:rPr>
              <m:t>k</m:t>
            </m:r>
          </m:sub>
          <m:sup>
            <m:r>
              <w:rPr>
                <w:rFonts w:ascii="Cambria Math" w:hAnsi="Cambria Math"/>
              </w:rPr>
              <m:t>F</m:t>
            </m:r>
          </m:sup>
        </m:sSubSup>
      </m:oMath>
      <w:r w:rsidRPr="00982564">
        <w:t xml:space="preserve">is the specific mass flow of the </w:t>
      </w:r>
      <w:proofErr w:type="spellStart"/>
      <w:r w:rsidRPr="00982564">
        <w:rPr>
          <w:i/>
        </w:rPr>
        <w:t>k</w:t>
      </w:r>
      <w:r w:rsidRPr="00982564">
        <w:rPr>
          <w:i/>
          <w:vertAlign w:val="superscript"/>
        </w:rPr>
        <w:t>th</w:t>
      </w:r>
      <w:proofErr w:type="spellEnd"/>
      <w:r w:rsidRPr="00982564">
        <w:t xml:space="preserve"> chemical and </w:t>
      </w:r>
      <m:oMath>
        <m:sSubSup>
          <m:sSubSupPr>
            <m:ctrlPr>
              <w:rPr>
                <w:rFonts w:ascii="Cambria Math" w:hAnsi="Cambria Math"/>
                <w:i/>
              </w:rPr>
            </m:ctrlPr>
          </m:sSubSupPr>
          <m:e>
            <m:r>
              <w:rPr>
                <w:rFonts w:ascii="Cambria Math" w:hAnsi="Cambria Math"/>
              </w:rPr>
              <m:t>I</m:t>
            </m:r>
          </m:e>
          <m:sub>
            <m:r>
              <w:rPr>
                <w:rFonts w:ascii="Cambria Math" w:hAnsi="Cambria Math"/>
              </w:rPr>
              <m:t>k</m:t>
            </m:r>
          </m:sub>
          <m:sup>
            <m:r>
              <w:rPr>
                <w:rFonts w:ascii="Cambria Math" w:hAnsi="Cambria Math"/>
              </w:rPr>
              <m:t>cS</m:t>
            </m:r>
          </m:sup>
        </m:sSubSup>
      </m:oMath>
      <w:r w:rsidRPr="00982564">
        <w:t xml:space="preserve"> is the hazard index value of the </w:t>
      </w:r>
      <w:proofErr w:type="spellStart"/>
      <w:r w:rsidRPr="00982564">
        <w:rPr>
          <w:i/>
        </w:rPr>
        <w:t>k</w:t>
      </w:r>
      <w:r w:rsidRPr="00982564">
        <w:rPr>
          <w:i/>
          <w:vertAlign w:val="superscript"/>
        </w:rPr>
        <w:t>th</w:t>
      </w:r>
      <w:proofErr w:type="spellEnd"/>
      <w:r w:rsidRPr="00982564">
        <w:t xml:space="preserve"> chemical in the relevant sub-category. </w:t>
      </w:r>
    </w:p>
    <w:p w:rsidR="00982564" w:rsidRPr="00982564" w:rsidRDefault="00982564" w:rsidP="00982564">
      <w:pPr>
        <w:jc w:val="both"/>
      </w:pPr>
    </w:p>
    <w:p w:rsidR="00982564" w:rsidRPr="00982564" w:rsidRDefault="00982564" w:rsidP="00982564">
      <w:pPr>
        <w:jc w:val="both"/>
      </w:pPr>
      <m:oMathPara>
        <m:oMath>
          <m:r>
            <w:rPr>
              <w:rFonts w:ascii="Cambria Math" w:hAnsi="Cambria Math"/>
            </w:rPr>
            <m:t xml:space="preserve">S= </m:t>
          </m:r>
          <m:nary>
            <m:naryPr>
              <m:chr m:val="∑"/>
              <m:limLoc m:val="undOvr"/>
              <m:supHide m:val="1"/>
              <m:ctrlPr>
                <w:rPr>
                  <w:rFonts w:ascii="Cambria Math" w:hAnsi="Cambria Math"/>
                  <w:i/>
                </w:rPr>
              </m:ctrlPr>
            </m:naryPr>
            <m:sub>
              <m:r>
                <w:rPr>
                  <w:rFonts w:ascii="Cambria Math" w:hAnsi="Cambria Math"/>
                </w:rPr>
                <m:t>cS</m:t>
              </m:r>
            </m:sub>
            <m:sup/>
            <m:e>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F</m:t>
                      </m:r>
                    </m:lim>
                  </m:limLow>
                </m:fName>
                <m:e>
                  <m:d>
                    <m:dPr>
                      <m:begChr m:val="["/>
                      <m:endChr m:val="]"/>
                      <m:ctrlPr>
                        <w:rPr>
                          <w:rFonts w:ascii="Cambria Math" w:hAnsi="Cambria Math"/>
                          <w:i/>
                        </w:rPr>
                      </m:ctrlPr>
                    </m:dPr>
                    <m:e>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k</m:t>
                              </m:r>
                            </m:lim>
                          </m:limLow>
                        </m:fName>
                        <m:e>
                          <m:d>
                            <m:dPr>
                              <m:ctrlPr>
                                <w:rPr>
                                  <w:rFonts w:ascii="Cambria Math" w:hAnsi="Cambria Math"/>
                                  <w:i/>
                                </w:rPr>
                              </m:ctrlPr>
                            </m:dPr>
                            <m:e>
                              <m:sSubSup>
                                <m:sSubSupPr>
                                  <m:ctrlPr>
                                    <w:rPr>
                                      <w:rFonts w:ascii="Cambria Math" w:hAnsi="Cambria Math"/>
                                      <w:i/>
                                    </w:rPr>
                                  </m:ctrlPr>
                                </m:sSubSupPr>
                                <m:e>
                                  <m:r>
                                    <w:rPr>
                                      <w:rFonts w:ascii="Cambria Math" w:hAnsi="Cambria Math"/>
                                    </w:rPr>
                                    <m:t>m</m:t>
                                  </m:r>
                                </m:e>
                                <m:sub>
                                  <m:r>
                                    <w:rPr>
                                      <w:rFonts w:ascii="Cambria Math" w:hAnsi="Cambria Math"/>
                                    </w:rPr>
                                    <m:t>k</m:t>
                                  </m:r>
                                </m:sub>
                                <m:sup>
                                  <m:r>
                                    <w:rPr>
                                      <w:rFonts w:ascii="Cambria Math" w:hAnsi="Cambria Math"/>
                                    </w:rPr>
                                    <m:t>F</m:t>
                                  </m:r>
                                </m:sup>
                              </m:sSubSup>
                              <m:r>
                                <w:rPr>
                                  <w:rFonts w:ascii="Cambria Math" w:hAnsi="Cambria Math"/>
                                </w:rPr>
                                <m:t xml:space="preserve">× </m:t>
                              </m:r>
                              <m:sSubSup>
                                <m:sSubSupPr>
                                  <m:ctrlPr>
                                    <w:rPr>
                                      <w:rFonts w:ascii="Cambria Math" w:hAnsi="Cambria Math"/>
                                      <w:i/>
                                    </w:rPr>
                                  </m:ctrlPr>
                                </m:sSubSupPr>
                                <m:e>
                                  <m:r>
                                    <w:rPr>
                                      <w:rFonts w:ascii="Cambria Math" w:hAnsi="Cambria Math"/>
                                    </w:rPr>
                                    <m:t>I</m:t>
                                  </m:r>
                                </m:e>
                                <m:sub>
                                  <m:r>
                                    <w:rPr>
                                      <w:rFonts w:ascii="Cambria Math" w:hAnsi="Cambria Math"/>
                                    </w:rPr>
                                    <m:t>k</m:t>
                                  </m:r>
                                </m:sub>
                                <m:sup>
                                  <m:r>
                                    <w:rPr>
                                      <w:rFonts w:ascii="Cambria Math" w:hAnsi="Cambria Math"/>
                                    </w:rPr>
                                    <m:t>cS</m:t>
                                  </m:r>
                                </m:sup>
                              </m:sSubSup>
                            </m:e>
                          </m:d>
                        </m:e>
                      </m:func>
                    </m:e>
                  </m:d>
                </m:e>
              </m:func>
            </m:e>
          </m:nary>
          <m:r>
            <w:rPr>
              <w:rFonts w:ascii="Cambria Math" w:hAnsi="Cambria Math"/>
            </w:rPr>
            <m:t xml:space="preserve">                       (S6)</m:t>
          </m:r>
        </m:oMath>
      </m:oMathPara>
    </w:p>
    <w:p w:rsidR="00982564" w:rsidRPr="00982564" w:rsidRDefault="00982564" w:rsidP="00982564">
      <w:pPr>
        <w:jc w:val="both"/>
      </w:pPr>
    </w:p>
    <w:p w:rsidR="00982564" w:rsidRPr="00982564" w:rsidRDefault="00982564" w:rsidP="00982564">
      <w:pPr>
        <w:jc w:val="both"/>
      </w:pPr>
      <w:r w:rsidRPr="00982564">
        <w:t>The hazard index value in different health sub-categories is calculated based on the scales shown in figure S3.</w:t>
      </w:r>
    </w:p>
    <w:p w:rsidR="00982564" w:rsidRPr="00982564" w:rsidRDefault="00982564" w:rsidP="00982564"/>
    <w:p w:rsidR="00982564" w:rsidRPr="00982564" w:rsidRDefault="00982564" w:rsidP="00982564">
      <w:r w:rsidRPr="00982564">
        <w:object w:dxaOrig="9688" w:dyaOrig="7788">
          <v:shape id="_x0000_i1027" type="#_x0000_t75" style="width:414.95pt;height:333.45pt" o:ole="">
            <v:imagedata r:id="rId11" o:title=""/>
          </v:shape>
          <o:OLEObject Type="Embed" ProgID="Visio.Drawing.11" ShapeID="_x0000_i1027" DrawAspect="Content" ObjectID="_1540018607" r:id="rId12"/>
        </w:object>
      </w:r>
    </w:p>
    <w:p w:rsidR="00982564" w:rsidRPr="00982564" w:rsidRDefault="00982564" w:rsidP="00982564">
      <w:pPr>
        <w:pStyle w:val="Caption"/>
      </w:pPr>
      <w:r w:rsidRPr="00982564">
        <w:t>Figure S3: Hazard index values for sub-categories in safety index (</w:t>
      </w:r>
      <w:r w:rsidRPr="00982564">
        <w:rPr>
          <w:i/>
        </w:rPr>
        <w:t>S</w:t>
      </w:r>
      <w:r w:rsidRPr="00982564">
        <w:t>)</w:t>
      </w:r>
    </w:p>
    <w:p w:rsidR="00982564" w:rsidRPr="00982564" w:rsidRDefault="00982564" w:rsidP="00982564">
      <w:pPr>
        <w:ind w:firstLine="720"/>
        <w:jc w:val="both"/>
      </w:pPr>
      <w:r w:rsidRPr="00982564">
        <w:t xml:space="preserve">The values of </w:t>
      </w:r>
      <w:r w:rsidRPr="00982564">
        <w:rPr>
          <w:i/>
        </w:rPr>
        <w:t xml:space="preserve">E, H </w:t>
      </w:r>
      <w:r w:rsidRPr="00982564">
        <w:t>and</w:t>
      </w:r>
      <w:r w:rsidRPr="00982564">
        <w:rPr>
          <w:i/>
        </w:rPr>
        <w:t xml:space="preserve"> S</w:t>
      </w:r>
      <w:r w:rsidRPr="00982564">
        <w:t xml:space="preserve"> calculated using the equations S4, S5 and S6, respectively, are substituted in equation 4, in the article to calculate the EHS index for the process.  </w:t>
      </w:r>
    </w:p>
    <w:p w:rsidR="00982564" w:rsidRPr="00982564" w:rsidRDefault="00982564" w:rsidP="00982564">
      <w:pPr>
        <w:rPr>
          <w:rFonts w:asciiTheme="majorHAnsi" w:eastAsiaTheme="majorEastAsia" w:hAnsiTheme="majorHAnsi" w:cstheme="majorBidi"/>
          <w:b/>
          <w:bCs/>
          <w:sz w:val="26"/>
          <w:szCs w:val="26"/>
        </w:rPr>
      </w:pPr>
      <w:r w:rsidRPr="00982564">
        <w:br w:type="page"/>
      </w:r>
    </w:p>
    <w:p w:rsidR="00982564" w:rsidRPr="00982564" w:rsidRDefault="00982564" w:rsidP="00982564">
      <w:pPr>
        <w:pStyle w:val="Heading2"/>
        <w:rPr>
          <w:color w:val="auto"/>
        </w:rPr>
      </w:pPr>
      <w:r w:rsidRPr="00982564">
        <w:rPr>
          <w:color w:val="auto"/>
        </w:rPr>
        <w:lastRenderedPageBreak/>
        <w:t>Process description</w:t>
      </w:r>
    </w:p>
    <w:p w:rsidR="00982564" w:rsidRPr="00982564" w:rsidRDefault="00982564" w:rsidP="00982564"/>
    <w:p w:rsidR="00982564" w:rsidRPr="00982564" w:rsidRDefault="00982564" w:rsidP="00982564">
      <w:pPr>
        <w:jc w:val="both"/>
      </w:pPr>
      <w:r w:rsidRPr="00982564">
        <w:t>The case study presented in the article involves production of but-1</w:t>
      </w:r>
      <w:proofErr w:type="gramStart"/>
      <w:r w:rsidRPr="00982564">
        <w:t>,3</w:t>
      </w:r>
      <w:proofErr w:type="gramEnd"/>
      <w:r w:rsidRPr="00982564">
        <w:t xml:space="preserve">-diene via </w:t>
      </w:r>
      <w:proofErr w:type="spellStart"/>
      <w:r w:rsidRPr="00982564">
        <w:t>biobased</w:t>
      </w:r>
      <w:proofErr w:type="spellEnd"/>
      <w:r w:rsidRPr="00982564">
        <w:t xml:space="preserve"> and petrochemical processes. In the </w:t>
      </w:r>
      <w:proofErr w:type="spellStart"/>
      <w:r w:rsidRPr="00982564">
        <w:t>biobased</w:t>
      </w:r>
      <w:proofErr w:type="spellEnd"/>
      <w:r w:rsidRPr="00982564">
        <w:t xml:space="preserve"> process, ethanol is converted to but-1</w:t>
      </w:r>
      <w:proofErr w:type="gramStart"/>
      <w:r w:rsidRPr="00982564">
        <w:t>,3</w:t>
      </w:r>
      <w:proofErr w:type="gramEnd"/>
      <w:r w:rsidRPr="00982564">
        <w:t xml:space="preserve">-diene over heterogeneous catalyst in a gas phase reaction at around 400 </w:t>
      </w:r>
      <w:proofErr w:type="spellStart"/>
      <w:r w:rsidRPr="00982564">
        <w:rPr>
          <w:vertAlign w:val="superscript"/>
        </w:rPr>
        <w:t>o</w:t>
      </w:r>
      <w:r w:rsidRPr="00982564">
        <w:t>C.</w:t>
      </w:r>
      <w:proofErr w:type="spellEnd"/>
      <w:r w:rsidRPr="00982564">
        <w:t xml:space="preserve"> The table S1 shows the relevant inputs and outputs along with the stream mass fractions for this reaction that are considered in the preliminary assessment. The chemicals with zero fractions (e.g. </w:t>
      </w:r>
      <w:proofErr w:type="spellStart"/>
      <w:r w:rsidRPr="00982564">
        <w:t>ethoxyethane</w:t>
      </w:r>
      <w:proofErr w:type="spellEnd"/>
      <w:r w:rsidRPr="00982564">
        <w:t xml:space="preserve"> mass fraction in table S1) do not play a direct role in the presented results for the case study. However, the physiochemical properties of these chemicals are included in the model to be used when the process information indicates their presence in the reaction. Some other studies for this conversion report the presence of these compounds. </w:t>
      </w:r>
    </w:p>
    <w:p w:rsidR="00982564" w:rsidRPr="00982564" w:rsidRDefault="00982564" w:rsidP="00982564"/>
    <w:p w:rsidR="00982564" w:rsidRPr="00982564" w:rsidRDefault="00982564" w:rsidP="00982564">
      <w:pPr>
        <w:pStyle w:val="Caption"/>
      </w:pPr>
      <w:r w:rsidRPr="00982564">
        <w:t>Table S1: Ethanol to but-1</w:t>
      </w:r>
      <w:proofErr w:type="gramStart"/>
      <w:r w:rsidRPr="00982564">
        <w:t>,3</w:t>
      </w:r>
      <w:proofErr w:type="gramEnd"/>
      <w:r w:rsidRPr="00982564">
        <w:t>-diene conversion reaction</w:t>
      </w:r>
    </w:p>
    <w:tbl>
      <w:tblPr>
        <w:tblStyle w:val="LightShading1"/>
        <w:tblpPr w:leftFromText="180" w:rightFromText="180" w:vertAnchor="text" w:tblpY="1"/>
        <w:tblOverlap w:val="never"/>
        <w:tblW w:w="0" w:type="auto"/>
        <w:tblLook w:val="04A0" w:firstRow="1" w:lastRow="0" w:firstColumn="1" w:lastColumn="0" w:noHBand="0" w:noVBand="1"/>
      </w:tblPr>
      <w:tblGrid>
        <w:gridCol w:w="1384"/>
        <w:gridCol w:w="1701"/>
        <w:gridCol w:w="1701"/>
        <w:gridCol w:w="1677"/>
      </w:tblGrid>
      <w:tr w:rsidR="00982564" w:rsidRPr="00982564" w:rsidTr="00D86F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gridSpan w:val="2"/>
            <w:tcBorders>
              <w:left w:val="single" w:sz="8" w:space="0" w:color="000000" w:themeColor="text1"/>
              <w:right w:val="single" w:sz="8" w:space="0" w:color="000000" w:themeColor="text1"/>
            </w:tcBorders>
          </w:tcPr>
          <w:p w:rsidR="00982564" w:rsidRPr="00982564" w:rsidRDefault="00982564" w:rsidP="00D86F84">
            <w:pPr>
              <w:jc w:val="center"/>
              <w:rPr>
                <w:b w:val="0"/>
                <w:color w:val="auto"/>
              </w:rPr>
            </w:pPr>
            <w:r w:rsidRPr="00982564">
              <w:rPr>
                <w:b w:val="0"/>
                <w:color w:val="auto"/>
              </w:rPr>
              <w:t>Inputs</w:t>
            </w:r>
          </w:p>
        </w:tc>
        <w:tc>
          <w:tcPr>
            <w:tcW w:w="3378" w:type="dxa"/>
            <w:gridSpan w:val="2"/>
            <w:tcBorders>
              <w:left w:val="single" w:sz="8" w:space="0" w:color="000000" w:themeColor="text1"/>
              <w:right w:val="single" w:sz="8" w:space="0" w:color="000000" w:themeColor="text1"/>
            </w:tcBorders>
          </w:tcPr>
          <w:p w:rsidR="00982564" w:rsidRPr="00982564" w:rsidRDefault="00982564" w:rsidP="00D86F84">
            <w:pPr>
              <w:jc w:val="center"/>
              <w:cnfStyle w:val="100000000000" w:firstRow="1" w:lastRow="0" w:firstColumn="0" w:lastColumn="0" w:oddVBand="0" w:evenVBand="0" w:oddHBand="0" w:evenHBand="0" w:firstRowFirstColumn="0" w:firstRowLastColumn="0" w:lastRowFirstColumn="0" w:lastRowLastColumn="0"/>
              <w:rPr>
                <w:b w:val="0"/>
                <w:color w:val="auto"/>
              </w:rPr>
            </w:pPr>
            <w:r w:rsidRPr="00982564">
              <w:rPr>
                <w:b w:val="0"/>
                <w:color w:val="auto"/>
              </w:rPr>
              <w:t>Outputs</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color w:val="auto"/>
              </w:rPr>
            </w:pPr>
            <w:r w:rsidRPr="00982564">
              <w:rPr>
                <w:color w:val="auto"/>
              </w:rPr>
              <w:t>Chemical name</w:t>
            </w:r>
          </w:p>
        </w:tc>
        <w:tc>
          <w:tcPr>
            <w:tcW w:w="1701" w:type="dxa"/>
            <w:tcBorders>
              <w:righ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b/>
                <w:color w:val="auto"/>
              </w:rPr>
            </w:pPr>
            <w:r w:rsidRPr="00982564">
              <w:rPr>
                <w:b/>
                <w:color w:val="auto"/>
              </w:rPr>
              <w:t>Mass fraction (wt%)</w:t>
            </w:r>
          </w:p>
        </w:tc>
        <w:tc>
          <w:tcPr>
            <w:tcW w:w="1701" w:type="dxa"/>
            <w:tcBorders>
              <w:lef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b/>
                <w:color w:val="auto"/>
              </w:rPr>
            </w:pPr>
            <w:r w:rsidRPr="00982564">
              <w:rPr>
                <w:b/>
                <w:color w:val="auto"/>
              </w:rPr>
              <w:t>Chemical name</w:t>
            </w:r>
          </w:p>
        </w:tc>
        <w:tc>
          <w:tcPr>
            <w:tcW w:w="1677" w:type="dxa"/>
            <w:tcBorders>
              <w:righ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b/>
                <w:color w:val="auto"/>
              </w:rPr>
            </w:pPr>
            <w:r w:rsidRPr="00982564">
              <w:rPr>
                <w:b/>
                <w:color w:val="auto"/>
              </w:rPr>
              <w:t>Mass fraction (wt%)</w:t>
            </w: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b w:val="0"/>
                <w:color w:val="auto"/>
              </w:rPr>
            </w:pPr>
            <w:r w:rsidRPr="00982564">
              <w:rPr>
                <w:b w:val="0"/>
                <w:color w:val="auto"/>
              </w:rPr>
              <w:t>Ethanol</w:t>
            </w:r>
          </w:p>
        </w:tc>
        <w:tc>
          <w:tcPr>
            <w:tcW w:w="170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100</w:t>
            </w:r>
          </w:p>
        </w:tc>
        <w:tc>
          <w:tcPr>
            <w:tcW w:w="1701" w:type="dxa"/>
            <w:tcBorders>
              <w:left w:val="single" w:sz="8" w:space="0" w:color="000000" w:themeColor="text1"/>
            </w:tcBorders>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But-1,3-diene</w:t>
            </w:r>
          </w:p>
        </w:tc>
        <w:tc>
          <w:tcPr>
            <w:tcW w:w="1677"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41.2</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b w:val="0"/>
                <w:color w:val="auto"/>
              </w:rPr>
            </w:pPr>
            <w:r w:rsidRPr="00982564">
              <w:rPr>
                <w:b w:val="0"/>
                <w:color w:val="auto"/>
              </w:rPr>
              <w:t>Water</w:t>
            </w:r>
          </w:p>
        </w:tc>
        <w:tc>
          <w:tcPr>
            <w:tcW w:w="1701"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w:t>
            </w:r>
          </w:p>
        </w:tc>
        <w:tc>
          <w:tcPr>
            <w:tcW w:w="1701" w:type="dxa"/>
            <w:tcBorders>
              <w:lef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Ethene</w:t>
            </w:r>
          </w:p>
        </w:tc>
        <w:tc>
          <w:tcPr>
            <w:tcW w:w="1677"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6.6</w:t>
            </w: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color w:val="auto"/>
              </w:rPr>
            </w:pPr>
          </w:p>
        </w:tc>
        <w:tc>
          <w:tcPr>
            <w:tcW w:w="170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p>
        </w:tc>
        <w:tc>
          <w:tcPr>
            <w:tcW w:w="1701" w:type="dxa"/>
            <w:tcBorders>
              <w:left w:val="single" w:sz="8" w:space="0" w:color="000000" w:themeColor="text1"/>
            </w:tcBorders>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Ethanal</w:t>
            </w:r>
          </w:p>
        </w:tc>
        <w:tc>
          <w:tcPr>
            <w:tcW w:w="1677"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8.6</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color w:val="auto"/>
              </w:rPr>
            </w:pPr>
          </w:p>
        </w:tc>
        <w:tc>
          <w:tcPr>
            <w:tcW w:w="1701"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p>
        </w:tc>
        <w:tc>
          <w:tcPr>
            <w:tcW w:w="1701" w:type="dxa"/>
            <w:tcBorders>
              <w:lef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 xml:space="preserve">Hydrogen </w:t>
            </w:r>
          </w:p>
        </w:tc>
        <w:tc>
          <w:tcPr>
            <w:tcW w:w="1677"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1.9</w:t>
            </w: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color w:val="auto"/>
              </w:rPr>
            </w:pPr>
          </w:p>
        </w:tc>
        <w:tc>
          <w:tcPr>
            <w:tcW w:w="170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p>
        </w:tc>
        <w:tc>
          <w:tcPr>
            <w:tcW w:w="1701" w:type="dxa"/>
            <w:tcBorders>
              <w:left w:val="single" w:sz="8" w:space="0" w:color="000000" w:themeColor="text1"/>
            </w:tcBorders>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Ethoxyethane</w:t>
            </w:r>
          </w:p>
        </w:tc>
        <w:tc>
          <w:tcPr>
            <w:tcW w:w="1677"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color w:val="auto"/>
              </w:rPr>
            </w:pPr>
          </w:p>
        </w:tc>
        <w:tc>
          <w:tcPr>
            <w:tcW w:w="1701"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p>
        </w:tc>
        <w:tc>
          <w:tcPr>
            <w:tcW w:w="1701" w:type="dxa"/>
            <w:tcBorders>
              <w:lef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But-1-ene</w:t>
            </w:r>
          </w:p>
        </w:tc>
        <w:tc>
          <w:tcPr>
            <w:tcW w:w="1677"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w:t>
            </w: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color w:val="auto"/>
              </w:rPr>
            </w:pPr>
          </w:p>
        </w:tc>
        <w:tc>
          <w:tcPr>
            <w:tcW w:w="170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p>
        </w:tc>
        <w:tc>
          <w:tcPr>
            <w:tcW w:w="1701" w:type="dxa"/>
            <w:tcBorders>
              <w:left w:val="single" w:sz="8" w:space="0" w:color="000000" w:themeColor="text1"/>
            </w:tcBorders>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Ethanol</w:t>
            </w:r>
          </w:p>
        </w:tc>
        <w:tc>
          <w:tcPr>
            <w:tcW w:w="1677"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10</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bottom w:val="single" w:sz="8" w:space="0" w:color="000000" w:themeColor="text1"/>
            </w:tcBorders>
          </w:tcPr>
          <w:p w:rsidR="00982564" w:rsidRPr="00982564" w:rsidRDefault="00982564" w:rsidP="00D86F84">
            <w:pPr>
              <w:rPr>
                <w:color w:val="auto"/>
              </w:rPr>
            </w:pPr>
          </w:p>
        </w:tc>
        <w:tc>
          <w:tcPr>
            <w:tcW w:w="1701" w:type="dxa"/>
            <w:tcBorders>
              <w:bottom w:val="single" w:sz="8" w:space="0" w:color="000000" w:themeColor="text1"/>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p>
        </w:tc>
        <w:tc>
          <w:tcPr>
            <w:tcW w:w="1701" w:type="dxa"/>
            <w:tcBorders>
              <w:left w:val="single" w:sz="8" w:space="0" w:color="000000" w:themeColor="text1"/>
              <w:bottom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Water</w:t>
            </w:r>
          </w:p>
        </w:tc>
        <w:tc>
          <w:tcPr>
            <w:tcW w:w="1677" w:type="dxa"/>
            <w:tcBorders>
              <w:bottom w:val="single" w:sz="8" w:space="0" w:color="000000" w:themeColor="text1"/>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31.7</w:t>
            </w:r>
          </w:p>
        </w:tc>
      </w:tr>
    </w:tbl>
    <w:p w:rsidR="00982564" w:rsidRPr="00982564" w:rsidRDefault="00982564" w:rsidP="00982564">
      <w:r w:rsidRPr="00982564">
        <w:br w:type="textWrapping" w:clear="all"/>
      </w:r>
    </w:p>
    <w:p w:rsidR="00982564" w:rsidRPr="00982564" w:rsidRDefault="00982564" w:rsidP="00982564">
      <w:pPr>
        <w:ind w:firstLine="720"/>
        <w:jc w:val="both"/>
      </w:pPr>
      <w:r w:rsidRPr="00982564">
        <w:t>In the reference petrochemical process, but-1</w:t>
      </w:r>
      <w:proofErr w:type="gramStart"/>
      <w:r w:rsidRPr="00982564">
        <w:t>,3</w:t>
      </w:r>
      <w:proofErr w:type="gramEnd"/>
      <w:r w:rsidRPr="00982564">
        <w:t xml:space="preserve">-diene is produced as a co-product in steam cracking of naphtha at around 800 </w:t>
      </w:r>
      <w:proofErr w:type="spellStart"/>
      <w:r w:rsidRPr="00982564">
        <w:rPr>
          <w:vertAlign w:val="superscript"/>
        </w:rPr>
        <w:t>o</w:t>
      </w:r>
      <w:r w:rsidRPr="00982564">
        <w:t>C</w:t>
      </w:r>
      <w:proofErr w:type="spellEnd"/>
      <w:r w:rsidRPr="00982564">
        <w:t xml:space="preserve"> to produce </w:t>
      </w:r>
      <w:proofErr w:type="spellStart"/>
      <w:r w:rsidRPr="00982564">
        <w:t>ethene</w:t>
      </w:r>
      <w:proofErr w:type="spellEnd"/>
      <w:r w:rsidRPr="00982564">
        <w:t xml:space="preserve">. The table S2 shows the relevant inputs and outputs for this conversion that are considered in the preliminary assessment. </w:t>
      </w:r>
    </w:p>
    <w:p w:rsidR="00982564" w:rsidRPr="00982564" w:rsidRDefault="00982564" w:rsidP="00982564">
      <w:pPr>
        <w:jc w:val="both"/>
      </w:pPr>
    </w:p>
    <w:p w:rsidR="00982564" w:rsidRPr="00982564" w:rsidRDefault="00982564" w:rsidP="00982564">
      <w:pPr>
        <w:pStyle w:val="Caption"/>
        <w:keepNext/>
      </w:pPr>
      <w:r w:rsidRPr="00982564">
        <w:t>Table S2: Steam cracking of naphtha</w:t>
      </w:r>
    </w:p>
    <w:tbl>
      <w:tblPr>
        <w:tblStyle w:val="LightShading1"/>
        <w:tblW w:w="0" w:type="auto"/>
        <w:tblLook w:val="04A0" w:firstRow="1" w:lastRow="0" w:firstColumn="1" w:lastColumn="0" w:noHBand="0" w:noVBand="1"/>
      </w:tblPr>
      <w:tblGrid>
        <w:gridCol w:w="1384"/>
        <w:gridCol w:w="1701"/>
        <w:gridCol w:w="3544"/>
        <w:gridCol w:w="1701"/>
      </w:tblGrid>
      <w:tr w:rsidR="00982564" w:rsidRPr="00982564" w:rsidTr="00D86F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gridSpan w:val="2"/>
            <w:tcBorders>
              <w:left w:val="single" w:sz="8" w:space="0" w:color="000000" w:themeColor="text1"/>
              <w:right w:val="single" w:sz="8" w:space="0" w:color="000000" w:themeColor="text1"/>
            </w:tcBorders>
          </w:tcPr>
          <w:p w:rsidR="00982564" w:rsidRPr="00982564" w:rsidRDefault="00982564" w:rsidP="00D86F84">
            <w:pPr>
              <w:jc w:val="center"/>
              <w:rPr>
                <w:b w:val="0"/>
                <w:color w:val="auto"/>
              </w:rPr>
            </w:pPr>
            <w:r w:rsidRPr="00982564">
              <w:rPr>
                <w:b w:val="0"/>
                <w:color w:val="auto"/>
              </w:rPr>
              <w:t>Inputs</w:t>
            </w:r>
          </w:p>
        </w:tc>
        <w:tc>
          <w:tcPr>
            <w:tcW w:w="5245" w:type="dxa"/>
            <w:gridSpan w:val="2"/>
            <w:tcBorders>
              <w:left w:val="single" w:sz="8" w:space="0" w:color="000000" w:themeColor="text1"/>
              <w:right w:val="single" w:sz="8" w:space="0" w:color="000000" w:themeColor="text1"/>
            </w:tcBorders>
          </w:tcPr>
          <w:p w:rsidR="00982564" w:rsidRPr="00982564" w:rsidRDefault="00982564" w:rsidP="00D86F84">
            <w:pPr>
              <w:jc w:val="center"/>
              <w:cnfStyle w:val="100000000000" w:firstRow="1" w:lastRow="0" w:firstColumn="0" w:lastColumn="0" w:oddVBand="0" w:evenVBand="0" w:oddHBand="0" w:evenHBand="0" w:firstRowFirstColumn="0" w:firstRowLastColumn="0" w:lastRowFirstColumn="0" w:lastRowLastColumn="0"/>
              <w:rPr>
                <w:b w:val="0"/>
                <w:color w:val="auto"/>
              </w:rPr>
            </w:pPr>
            <w:r w:rsidRPr="00982564">
              <w:rPr>
                <w:b w:val="0"/>
                <w:color w:val="auto"/>
              </w:rPr>
              <w:t>Outputs</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color w:val="auto"/>
              </w:rPr>
            </w:pPr>
            <w:r w:rsidRPr="00982564">
              <w:rPr>
                <w:color w:val="auto"/>
              </w:rPr>
              <w:t>Chemical name</w:t>
            </w:r>
          </w:p>
        </w:tc>
        <w:tc>
          <w:tcPr>
            <w:tcW w:w="1701" w:type="dxa"/>
            <w:tcBorders>
              <w:righ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b/>
                <w:color w:val="auto"/>
              </w:rPr>
            </w:pPr>
            <w:r w:rsidRPr="00982564">
              <w:rPr>
                <w:b/>
                <w:color w:val="auto"/>
              </w:rPr>
              <w:t>Mass fraction (wt%)</w:t>
            </w:r>
          </w:p>
        </w:tc>
        <w:tc>
          <w:tcPr>
            <w:tcW w:w="3544" w:type="dxa"/>
            <w:tcBorders>
              <w:lef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b/>
                <w:color w:val="auto"/>
              </w:rPr>
            </w:pPr>
            <w:r w:rsidRPr="00982564">
              <w:rPr>
                <w:b/>
                <w:color w:val="auto"/>
              </w:rPr>
              <w:t>Chemical name</w:t>
            </w:r>
          </w:p>
        </w:tc>
        <w:tc>
          <w:tcPr>
            <w:tcW w:w="1701" w:type="dxa"/>
            <w:tcBorders>
              <w:righ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b/>
                <w:color w:val="auto"/>
              </w:rPr>
            </w:pPr>
            <w:r w:rsidRPr="00982564">
              <w:rPr>
                <w:b/>
                <w:color w:val="auto"/>
              </w:rPr>
              <w:t>Mass fraction (wt%)</w:t>
            </w: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b w:val="0"/>
                <w:color w:val="auto"/>
              </w:rPr>
            </w:pPr>
            <w:r w:rsidRPr="00982564">
              <w:rPr>
                <w:b w:val="0"/>
                <w:color w:val="auto"/>
              </w:rPr>
              <w:t>Naphtha</w:t>
            </w:r>
          </w:p>
        </w:tc>
        <w:tc>
          <w:tcPr>
            <w:tcW w:w="170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100</w:t>
            </w:r>
          </w:p>
        </w:tc>
        <w:tc>
          <w:tcPr>
            <w:tcW w:w="3544" w:type="dxa"/>
            <w:tcBorders>
              <w:left w:val="single" w:sz="8" w:space="0" w:color="000000" w:themeColor="text1"/>
            </w:tcBorders>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 xml:space="preserve">Ethene </w:t>
            </w:r>
          </w:p>
        </w:tc>
        <w:tc>
          <w:tcPr>
            <w:tcW w:w="170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32.4</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b w:val="0"/>
                <w:color w:val="auto"/>
              </w:rPr>
            </w:pPr>
          </w:p>
        </w:tc>
        <w:tc>
          <w:tcPr>
            <w:tcW w:w="1701" w:type="dxa"/>
            <w:tcBorders>
              <w:righ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p>
        </w:tc>
        <w:tc>
          <w:tcPr>
            <w:tcW w:w="3544" w:type="dxa"/>
            <w:tcBorders>
              <w:lef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Propene</w:t>
            </w:r>
          </w:p>
        </w:tc>
        <w:tc>
          <w:tcPr>
            <w:tcW w:w="1701"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16.8</w:t>
            </w: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color w:val="auto"/>
              </w:rPr>
            </w:pPr>
          </w:p>
        </w:tc>
        <w:tc>
          <w:tcPr>
            <w:tcW w:w="1701" w:type="dxa"/>
            <w:tcBorders>
              <w:right w:val="single" w:sz="8" w:space="0" w:color="000000" w:themeColor="text1"/>
            </w:tcBorders>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c>
          <w:tcPr>
            <w:tcW w:w="3544" w:type="dxa"/>
            <w:tcBorders>
              <w:left w:val="single" w:sz="8" w:space="0" w:color="000000" w:themeColor="text1"/>
            </w:tcBorders>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But-1,3-diene</w:t>
            </w:r>
          </w:p>
        </w:tc>
        <w:tc>
          <w:tcPr>
            <w:tcW w:w="170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5.0</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color w:val="auto"/>
              </w:rPr>
            </w:pPr>
          </w:p>
        </w:tc>
        <w:tc>
          <w:tcPr>
            <w:tcW w:w="1701" w:type="dxa"/>
            <w:tcBorders>
              <w:righ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p>
        </w:tc>
        <w:tc>
          <w:tcPr>
            <w:tcW w:w="3544" w:type="dxa"/>
            <w:tcBorders>
              <w:lef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Benzene</w:t>
            </w:r>
          </w:p>
        </w:tc>
        <w:tc>
          <w:tcPr>
            <w:tcW w:w="1701"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10.4</w:t>
            </w: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color w:val="auto"/>
              </w:rPr>
            </w:pPr>
          </w:p>
        </w:tc>
        <w:tc>
          <w:tcPr>
            <w:tcW w:w="1701" w:type="dxa"/>
            <w:tcBorders>
              <w:right w:val="single" w:sz="8" w:space="0" w:color="000000" w:themeColor="text1"/>
            </w:tcBorders>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c>
          <w:tcPr>
            <w:tcW w:w="3544" w:type="dxa"/>
            <w:tcBorders>
              <w:left w:val="single" w:sz="8" w:space="0" w:color="000000" w:themeColor="text1"/>
            </w:tcBorders>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Hydrogen</w:t>
            </w:r>
          </w:p>
        </w:tc>
        <w:tc>
          <w:tcPr>
            <w:tcW w:w="170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1.1</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color w:val="auto"/>
              </w:rPr>
            </w:pPr>
          </w:p>
        </w:tc>
        <w:tc>
          <w:tcPr>
            <w:tcW w:w="1701" w:type="dxa"/>
            <w:tcBorders>
              <w:righ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p>
        </w:tc>
        <w:tc>
          <w:tcPr>
            <w:tcW w:w="3544" w:type="dxa"/>
            <w:tcBorders>
              <w:lef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Methane</w:t>
            </w:r>
          </w:p>
        </w:tc>
        <w:tc>
          <w:tcPr>
            <w:tcW w:w="1701"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13.9</w:t>
            </w: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color w:val="auto"/>
              </w:rPr>
            </w:pPr>
          </w:p>
        </w:tc>
        <w:tc>
          <w:tcPr>
            <w:tcW w:w="1701" w:type="dxa"/>
            <w:tcBorders>
              <w:right w:val="single" w:sz="8" w:space="0" w:color="000000" w:themeColor="text1"/>
            </w:tcBorders>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c>
          <w:tcPr>
            <w:tcW w:w="3544" w:type="dxa"/>
            <w:tcBorders>
              <w:left w:val="single" w:sz="8" w:space="0" w:color="000000" w:themeColor="text1"/>
            </w:tcBorders>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Other C4 (Butane, But-1-ene, 2-Methylpropene)</w:t>
            </w:r>
          </w:p>
        </w:tc>
        <w:tc>
          <w:tcPr>
            <w:tcW w:w="170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6.2</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color w:val="auto"/>
              </w:rPr>
            </w:pPr>
          </w:p>
        </w:tc>
        <w:tc>
          <w:tcPr>
            <w:tcW w:w="1701" w:type="dxa"/>
            <w:tcBorders>
              <w:righ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p>
        </w:tc>
        <w:tc>
          <w:tcPr>
            <w:tcW w:w="3544" w:type="dxa"/>
            <w:tcBorders>
              <w:lef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Other aromatics (Methylbenzene, dimethylbenzene)</w:t>
            </w:r>
          </w:p>
        </w:tc>
        <w:tc>
          <w:tcPr>
            <w:tcW w:w="1701"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w:t>
            </w: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color w:val="auto"/>
              </w:rPr>
            </w:pPr>
          </w:p>
        </w:tc>
        <w:tc>
          <w:tcPr>
            <w:tcW w:w="1701" w:type="dxa"/>
            <w:tcBorders>
              <w:right w:val="single" w:sz="8" w:space="0" w:color="000000" w:themeColor="text1"/>
            </w:tcBorders>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c>
          <w:tcPr>
            <w:tcW w:w="3544" w:type="dxa"/>
            <w:tcBorders>
              <w:left w:val="single" w:sz="8" w:space="0" w:color="000000" w:themeColor="text1"/>
            </w:tcBorders>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Pentane, Hexane</w:t>
            </w:r>
          </w:p>
        </w:tc>
        <w:tc>
          <w:tcPr>
            <w:tcW w:w="170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4.0</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982564" w:rsidRPr="00982564" w:rsidRDefault="00982564" w:rsidP="00D86F84">
            <w:pPr>
              <w:rPr>
                <w:color w:val="auto"/>
              </w:rPr>
            </w:pPr>
          </w:p>
        </w:tc>
        <w:tc>
          <w:tcPr>
            <w:tcW w:w="1701" w:type="dxa"/>
            <w:tcBorders>
              <w:righ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p>
        </w:tc>
        <w:tc>
          <w:tcPr>
            <w:tcW w:w="3544" w:type="dxa"/>
            <w:tcBorders>
              <w:left w:val="single" w:sz="8" w:space="0" w:color="000000" w:themeColor="text1"/>
            </w:tcBorders>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C7+ non aromatics (Heptane)</w:t>
            </w:r>
          </w:p>
        </w:tc>
        <w:tc>
          <w:tcPr>
            <w:tcW w:w="1701"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1.2</w:t>
            </w: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bottom w:val="single" w:sz="8" w:space="0" w:color="000000" w:themeColor="text1"/>
            </w:tcBorders>
          </w:tcPr>
          <w:p w:rsidR="00982564" w:rsidRPr="00982564" w:rsidRDefault="00982564" w:rsidP="00D86F84">
            <w:pPr>
              <w:rPr>
                <w:color w:val="auto"/>
              </w:rPr>
            </w:pPr>
          </w:p>
        </w:tc>
        <w:tc>
          <w:tcPr>
            <w:tcW w:w="1701" w:type="dxa"/>
            <w:tcBorders>
              <w:bottom w:val="single" w:sz="8" w:space="0" w:color="000000" w:themeColor="text1"/>
              <w:right w:val="single" w:sz="8" w:space="0" w:color="000000" w:themeColor="text1"/>
            </w:tcBorders>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c>
          <w:tcPr>
            <w:tcW w:w="3544" w:type="dxa"/>
            <w:tcBorders>
              <w:left w:val="single" w:sz="8" w:space="0" w:color="000000" w:themeColor="text1"/>
              <w:bottom w:val="single" w:sz="8" w:space="0" w:color="000000" w:themeColor="text1"/>
            </w:tcBorders>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Fuel oil</w:t>
            </w:r>
          </w:p>
        </w:tc>
        <w:tc>
          <w:tcPr>
            <w:tcW w:w="1701" w:type="dxa"/>
            <w:tcBorders>
              <w:bottom w:val="single" w:sz="8" w:space="0" w:color="000000" w:themeColor="text1"/>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9.0</w:t>
            </w:r>
          </w:p>
        </w:tc>
      </w:tr>
    </w:tbl>
    <w:p w:rsidR="00982564" w:rsidRPr="00982564" w:rsidRDefault="00982564" w:rsidP="00982564">
      <w:pPr>
        <w:jc w:val="both"/>
        <w:rPr>
          <w:i/>
        </w:rPr>
      </w:pPr>
      <w:r w:rsidRPr="00982564">
        <w:rPr>
          <w:i/>
        </w:rPr>
        <w:t>PCEI inputs</w:t>
      </w:r>
    </w:p>
    <w:p w:rsidR="00982564" w:rsidRPr="00982564" w:rsidRDefault="00982564" w:rsidP="00982564">
      <w:pPr>
        <w:jc w:val="both"/>
      </w:pPr>
      <w:r w:rsidRPr="00982564">
        <w:t>Based on the mass balances reported in table S1 and S2, the subsequent values for PCEI calculation are reported in table S3.</w:t>
      </w:r>
    </w:p>
    <w:p w:rsidR="00982564" w:rsidRPr="00982564" w:rsidRDefault="00982564" w:rsidP="00982564"/>
    <w:p w:rsidR="00982564" w:rsidRPr="00982564" w:rsidRDefault="00982564" w:rsidP="00982564">
      <w:pPr>
        <w:pStyle w:val="Caption"/>
        <w:keepNext/>
      </w:pPr>
      <w:r w:rsidRPr="00982564">
        <w:t>Table S3: Source and index values of the PCEI parameter for the but-1</w:t>
      </w:r>
      <w:proofErr w:type="gramStart"/>
      <w:r w:rsidRPr="00982564">
        <w:t>,3</w:t>
      </w:r>
      <w:proofErr w:type="gramEnd"/>
      <w:r w:rsidRPr="00982564">
        <w:t>-diene production case study</w:t>
      </w:r>
    </w:p>
    <w:tbl>
      <w:tblPr>
        <w:tblStyle w:val="LightShading1"/>
        <w:tblW w:w="0" w:type="auto"/>
        <w:tblLook w:val="04A0" w:firstRow="1" w:lastRow="0" w:firstColumn="1" w:lastColumn="0" w:noHBand="0" w:noVBand="1"/>
      </w:tblPr>
      <w:tblGrid>
        <w:gridCol w:w="1690"/>
        <w:gridCol w:w="1690"/>
        <w:gridCol w:w="1691"/>
        <w:gridCol w:w="1691"/>
        <w:gridCol w:w="1691"/>
      </w:tblGrid>
      <w:tr w:rsidR="00982564" w:rsidRPr="00982564" w:rsidTr="00D86F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0" w:type="dxa"/>
            <w:tcBorders>
              <w:left w:val="single" w:sz="8" w:space="0" w:color="000000" w:themeColor="text1"/>
            </w:tcBorders>
          </w:tcPr>
          <w:p w:rsidR="00982564" w:rsidRPr="00982564" w:rsidRDefault="00982564" w:rsidP="00D86F84">
            <w:pPr>
              <w:rPr>
                <w:color w:val="auto"/>
              </w:rPr>
            </w:pPr>
            <w:r w:rsidRPr="00982564">
              <w:rPr>
                <w:color w:val="auto"/>
              </w:rPr>
              <w:t>Indicators</w:t>
            </w:r>
          </w:p>
        </w:tc>
        <w:tc>
          <w:tcPr>
            <w:tcW w:w="3381" w:type="dxa"/>
            <w:gridSpan w:val="2"/>
            <w:tcBorders>
              <w:right w:val="single" w:sz="8" w:space="0" w:color="000000" w:themeColor="text1"/>
            </w:tcBorders>
          </w:tcPr>
          <w:p w:rsidR="00982564" w:rsidRPr="00982564" w:rsidRDefault="00982564" w:rsidP="00D86F84">
            <w:pPr>
              <w:jc w:val="center"/>
              <w:cnfStyle w:val="100000000000" w:firstRow="1" w:lastRow="0" w:firstColumn="0" w:lastColumn="0" w:oddVBand="0" w:evenVBand="0" w:oddHBand="0" w:evenHBand="0" w:firstRowFirstColumn="0" w:firstRowLastColumn="0" w:lastRowFirstColumn="0" w:lastRowLastColumn="0"/>
              <w:rPr>
                <w:color w:val="auto"/>
              </w:rPr>
            </w:pPr>
            <w:r w:rsidRPr="00982564">
              <w:rPr>
                <w:color w:val="auto"/>
              </w:rPr>
              <w:t>Bioethanol process</w:t>
            </w:r>
          </w:p>
        </w:tc>
        <w:tc>
          <w:tcPr>
            <w:tcW w:w="3382" w:type="dxa"/>
            <w:gridSpan w:val="2"/>
            <w:tcBorders>
              <w:left w:val="single" w:sz="8" w:space="0" w:color="000000" w:themeColor="text1"/>
              <w:right w:val="single" w:sz="8" w:space="0" w:color="000000" w:themeColor="text1"/>
            </w:tcBorders>
          </w:tcPr>
          <w:p w:rsidR="00982564" w:rsidRPr="00982564" w:rsidRDefault="00982564" w:rsidP="00D86F84">
            <w:pPr>
              <w:jc w:val="center"/>
              <w:cnfStyle w:val="100000000000" w:firstRow="1" w:lastRow="0" w:firstColumn="0" w:lastColumn="0" w:oddVBand="0" w:evenVBand="0" w:oddHBand="0" w:evenHBand="0" w:firstRowFirstColumn="0" w:firstRowLastColumn="0" w:lastRowFirstColumn="0" w:lastRowLastColumn="0"/>
              <w:rPr>
                <w:color w:val="auto"/>
              </w:rPr>
            </w:pPr>
            <w:r w:rsidRPr="00982564">
              <w:rPr>
                <w:color w:val="auto"/>
              </w:rPr>
              <w:t>Naphtha process</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0" w:type="dxa"/>
            <w:tcBorders>
              <w:left w:val="single" w:sz="8" w:space="0" w:color="000000" w:themeColor="text1"/>
            </w:tcBorders>
          </w:tcPr>
          <w:p w:rsidR="00982564" w:rsidRPr="00982564" w:rsidRDefault="00982564" w:rsidP="00D86F84">
            <w:pPr>
              <w:rPr>
                <w:color w:val="auto"/>
              </w:rPr>
            </w:pPr>
          </w:p>
        </w:tc>
        <w:tc>
          <w:tcPr>
            <w:tcW w:w="1690" w:type="dxa"/>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Process value</w:t>
            </w:r>
          </w:p>
        </w:tc>
        <w:tc>
          <w:tcPr>
            <w:tcW w:w="1691"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Index value</w:t>
            </w:r>
          </w:p>
        </w:tc>
        <w:tc>
          <w:tcPr>
            <w:tcW w:w="1691" w:type="dxa"/>
            <w:tcBorders>
              <w:lef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Process value</w:t>
            </w:r>
          </w:p>
        </w:tc>
        <w:tc>
          <w:tcPr>
            <w:tcW w:w="1691"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Index value</w:t>
            </w: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1690" w:type="dxa"/>
            <w:tcBorders>
              <w:left w:val="single" w:sz="8" w:space="0" w:color="000000" w:themeColor="text1"/>
              <w:right w:val="nil"/>
            </w:tcBorders>
          </w:tcPr>
          <w:p w:rsidR="00982564" w:rsidRPr="00982564" w:rsidRDefault="00982564" w:rsidP="00D86F84">
            <w:pPr>
              <w:rPr>
                <w:color w:val="auto"/>
              </w:rPr>
            </w:pPr>
            <w:r w:rsidRPr="00982564">
              <w:rPr>
                <w:color w:val="auto"/>
              </w:rPr>
              <w:t>Presence of water</w:t>
            </w:r>
          </w:p>
        </w:tc>
        <w:tc>
          <w:tcPr>
            <w:tcW w:w="1690" w:type="dxa"/>
            <w:tcBorders>
              <w:left w:val="nil"/>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Yes (distill)</w:t>
            </w:r>
          </w:p>
        </w:tc>
        <w:tc>
          <w:tcPr>
            <w:tcW w:w="169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1</w:t>
            </w:r>
          </w:p>
        </w:tc>
        <w:tc>
          <w:tcPr>
            <w:tcW w:w="1691" w:type="dxa"/>
            <w:tcBorders>
              <w:lef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No</w:t>
            </w:r>
          </w:p>
        </w:tc>
        <w:tc>
          <w:tcPr>
            <w:tcW w:w="169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0" w:type="dxa"/>
            <w:tcBorders>
              <w:left w:val="single" w:sz="8" w:space="0" w:color="000000" w:themeColor="text1"/>
            </w:tcBorders>
          </w:tcPr>
          <w:p w:rsidR="00982564" w:rsidRPr="00982564" w:rsidRDefault="00982564" w:rsidP="00D86F84">
            <w:pPr>
              <w:rPr>
                <w:color w:val="auto"/>
              </w:rPr>
            </w:pPr>
            <w:r w:rsidRPr="00982564">
              <w:rPr>
                <w:color w:val="auto"/>
              </w:rPr>
              <w:t>Product concentration</w:t>
            </w:r>
          </w:p>
        </w:tc>
        <w:tc>
          <w:tcPr>
            <w:tcW w:w="1690" w:type="dxa"/>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18.47</w:t>
            </w:r>
          </w:p>
        </w:tc>
        <w:tc>
          <w:tcPr>
            <w:tcW w:w="1691"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0.047</w:t>
            </w:r>
          </w:p>
        </w:tc>
        <w:tc>
          <w:tcPr>
            <w:tcW w:w="1691" w:type="dxa"/>
            <w:tcBorders>
              <w:lef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3.94</w:t>
            </w:r>
          </w:p>
        </w:tc>
        <w:tc>
          <w:tcPr>
            <w:tcW w:w="1691"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0.6</w:t>
            </w: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1690" w:type="dxa"/>
            <w:tcBorders>
              <w:left w:val="single" w:sz="8" w:space="0" w:color="000000" w:themeColor="text1"/>
              <w:right w:val="nil"/>
            </w:tcBorders>
          </w:tcPr>
          <w:p w:rsidR="00982564" w:rsidRPr="00982564" w:rsidRDefault="00982564" w:rsidP="00D86F84">
            <w:pPr>
              <w:rPr>
                <w:color w:val="auto"/>
              </w:rPr>
            </w:pPr>
            <w:r w:rsidRPr="00982564">
              <w:rPr>
                <w:color w:val="auto"/>
              </w:rPr>
              <w:t>Minimum boiling point difference</w:t>
            </w:r>
          </w:p>
        </w:tc>
        <w:tc>
          <w:tcPr>
            <w:tcW w:w="1690" w:type="dxa"/>
            <w:tcBorders>
              <w:left w:val="nil"/>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25.2 K</w:t>
            </w:r>
          </w:p>
        </w:tc>
        <w:tc>
          <w:tcPr>
            <w:tcW w:w="169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w:t>
            </w:r>
          </w:p>
        </w:tc>
        <w:tc>
          <w:tcPr>
            <w:tcW w:w="1691" w:type="dxa"/>
            <w:tcBorders>
              <w:lef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1.9 K</w:t>
            </w:r>
          </w:p>
        </w:tc>
        <w:tc>
          <w:tcPr>
            <w:tcW w:w="169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1</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0" w:type="dxa"/>
            <w:tcBorders>
              <w:left w:val="single" w:sz="8" w:space="0" w:color="000000" w:themeColor="text1"/>
            </w:tcBorders>
          </w:tcPr>
          <w:p w:rsidR="00982564" w:rsidRPr="00982564" w:rsidRDefault="00982564" w:rsidP="00D86F84">
            <w:pPr>
              <w:rPr>
                <w:color w:val="auto"/>
              </w:rPr>
            </w:pPr>
            <w:r w:rsidRPr="00982564">
              <w:rPr>
                <w:color w:val="auto"/>
              </w:rPr>
              <w:t>Reaction mass loss</w:t>
            </w:r>
          </w:p>
        </w:tc>
        <w:tc>
          <w:tcPr>
            <w:tcW w:w="1690" w:type="dxa"/>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0.71</w:t>
            </w:r>
          </w:p>
        </w:tc>
        <w:tc>
          <w:tcPr>
            <w:tcW w:w="1691"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0.38</w:t>
            </w:r>
          </w:p>
        </w:tc>
        <w:tc>
          <w:tcPr>
            <w:tcW w:w="1691" w:type="dxa"/>
            <w:tcBorders>
              <w:lef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w:t>
            </w:r>
          </w:p>
        </w:tc>
        <w:tc>
          <w:tcPr>
            <w:tcW w:w="1691"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w:t>
            </w: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1690" w:type="dxa"/>
            <w:tcBorders>
              <w:left w:val="single" w:sz="8" w:space="0" w:color="000000" w:themeColor="text1"/>
              <w:right w:val="nil"/>
            </w:tcBorders>
          </w:tcPr>
          <w:p w:rsidR="00982564" w:rsidRPr="00982564" w:rsidRDefault="00982564" w:rsidP="00D86F84">
            <w:pPr>
              <w:rPr>
                <w:color w:val="auto"/>
              </w:rPr>
            </w:pPr>
            <w:r w:rsidRPr="00982564">
              <w:rPr>
                <w:color w:val="auto"/>
              </w:rPr>
              <w:t>Reaction enthalpy</w:t>
            </w:r>
          </w:p>
        </w:tc>
        <w:tc>
          <w:tcPr>
            <w:tcW w:w="1690" w:type="dxa"/>
            <w:tcBorders>
              <w:left w:val="nil"/>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47.75 kJ/mol</w:t>
            </w:r>
          </w:p>
        </w:tc>
        <w:tc>
          <w:tcPr>
            <w:tcW w:w="169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w:t>
            </w:r>
          </w:p>
        </w:tc>
        <w:tc>
          <w:tcPr>
            <w:tcW w:w="1691" w:type="dxa"/>
            <w:tcBorders>
              <w:lef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vertAlign w:val="superscript"/>
              </w:rPr>
            </w:pPr>
            <w:r w:rsidRPr="00982564">
              <w:rPr>
                <w:color w:val="auto"/>
              </w:rPr>
              <w:t>384 kJ/mol (avg)</w:t>
            </w:r>
            <w:r w:rsidRPr="00982564">
              <w:rPr>
                <w:rStyle w:val="FootnoteReference"/>
                <w:color w:val="auto"/>
              </w:rPr>
              <w:footnoteReference w:id="1"/>
            </w:r>
          </w:p>
        </w:tc>
        <w:tc>
          <w:tcPr>
            <w:tcW w:w="169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1</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0" w:type="dxa"/>
            <w:tcBorders>
              <w:left w:val="single" w:sz="8" w:space="0" w:color="000000" w:themeColor="text1"/>
            </w:tcBorders>
          </w:tcPr>
          <w:p w:rsidR="00982564" w:rsidRPr="00982564" w:rsidRDefault="00982564" w:rsidP="00D86F84">
            <w:pPr>
              <w:rPr>
                <w:color w:val="auto"/>
              </w:rPr>
            </w:pPr>
            <w:r w:rsidRPr="00982564">
              <w:rPr>
                <w:color w:val="auto"/>
              </w:rPr>
              <w:t>Number of co-products</w:t>
            </w:r>
          </w:p>
        </w:tc>
        <w:tc>
          <w:tcPr>
            <w:tcW w:w="1690" w:type="dxa"/>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3</w:t>
            </w:r>
          </w:p>
        </w:tc>
        <w:tc>
          <w:tcPr>
            <w:tcW w:w="1691"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0.5</w:t>
            </w:r>
          </w:p>
        </w:tc>
        <w:tc>
          <w:tcPr>
            <w:tcW w:w="1691" w:type="dxa"/>
            <w:tcBorders>
              <w:lef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9</w:t>
            </w:r>
          </w:p>
        </w:tc>
        <w:tc>
          <w:tcPr>
            <w:tcW w:w="1691" w:type="dxa"/>
            <w:tcBorders>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1</w:t>
            </w: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1690" w:type="dxa"/>
            <w:tcBorders>
              <w:left w:val="single" w:sz="8" w:space="0" w:color="000000" w:themeColor="text1"/>
              <w:right w:val="nil"/>
            </w:tcBorders>
          </w:tcPr>
          <w:p w:rsidR="00982564" w:rsidRPr="00982564" w:rsidRDefault="00982564" w:rsidP="00D86F84">
            <w:pPr>
              <w:rPr>
                <w:color w:val="auto"/>
              </w:rPr>
            </w:pPr>
            <w:r w:rsidRPr="00982564">
              <w:rPr>
                <w:color w:val="auto"/>
              </w:rPr>
              <w:t>Pre-treatment of feedstock</w:t>
            </w:r>
          </w:p>
        </w:tc>
        <w:tc>
          <w:tcPr>
            <w:tcW w:w="1690" w:type="dxa"/>
            <w:tcBorders>
              <w:left w:val="nil"/>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w:t>
            </w:r>
          </w:p>
        </w:tc>
        <w:tc>
          <w:tcPr>
            <w:tcW w:w="169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w:t>
            </w:r>
          </w:p>
        </w:tc>
        <w:tc>
          <w:tcPr>
            <w:tcW w:w="1691" w:type="dxa"/>
            <w:tcBorders>
              <w:lef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w:t>
            </w:r>
          </w:p>
        </w:tc>
        <w:tc>
          <w:tcPr>
            <w:tcW w:w="1691" w:type="dxa"/>
            <w:tcBorders>
              <w:right w:val="single" w:sz="8" w:space="0" w:color="000000" w:themeColor="text1"/>
            </w:tcBorders>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0" w:type="dxa"/>
            <w:tcBorders>
              <w:left w:val="single" w:sz="8" w:space="0" w:color="000000" w:themeColor="text1"/>
              <w:bottom w:val="single" w:sz="8" w:space="0" w:color="000000" w:themeColor="text1"/>
            </w:tcBorders>
          </w:tcPr>
          <w:p w:rsidR="00982564" w:rsidRPr="00982564" w:rsidRDefault="00982564" w:rsidP="00D86F84">
            <w:pPr>
              <w:rPr>
                <w:color w:val="auto"/>
              </w:rPr>
            </w:pPr>
            <w:r w:rsidRPr="00982564">
              <w:rPr>
                <w:color w:val="auto"/>
              </w:rPr>
              <w:t>Total</w:t>
            </w:r>
          </w:p>
        </w:tc>
        <w:tc>
          <w:tcPr>
            <w:tcW w:w="1690" w:type="dxa"/>
            <w:tcBorders>
              <w:bottom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p>
        </w:tc>
        <w:tc>
          <w:tcPr>
            <w:tcW w:w="1691" w:type="dxa"/>
            <w:tcBorders>
              <w:bottom w:val="single" w:sz="8" w:space="0" w:color="000000" w:themeColor="text1"/>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1.93</w:t>
            </w:r>
          </w:p>
        </w:tc>
        <w:tc>
          <w:tcPr>
            <w:tcW w:w="1691" w:type="dxa"/>
            <w:tcBorders>
              <w:left w:val="single" w:sz="8" w:space="0" w:color="000000" w:themeColor="text1"/>
              <w:bottom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p>
        </w:tc>
        <w:tc>
          <w:tcPr>
            <w:tcW w:w="1691" w:type="dxa"/>
            <w:tcBorders>
              <w:bottom w:val="single" w:sz="8" w:space="0" w:color="000000" w:themeColor="text1"/>
              <w:right w:val="single" w:sz="8" w:space="0" w:color="000000" w:themeColor="text1"/>
            </w:tcBorders>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3.60</w:t>
            </w:r>
          </w:p>
        </w:tc>
      </w:tr>
    </w:tbl>
    <w:p w:rsidR="00982564" w:rsidRPr="00982564" w:rsidRDefault="00982564" w:rsidP="00982564"/>
    <w:p w:rsidR="00982564" w:rsidRPr="00982564" w:rsidRDefault="00982564" w:rsidP="00982564">
      <w:pPr>
        <w:pStyle w:val="Heading2"/>
        <w:rPr>
          <w:color w:val="auto"/>
        </w:rPr>
      </w:pPr>
      <w:r w:rsidRPr="00982564">
        <w:rPr>
          <w:color w:val="auto"/>
        </w:rPr>
        <w:t>Raw material environmental impacts</w:t>
      </w:r>
    </w:p>
    <w:p w:rsidR="00982564" w:rsidRPr="00982564" w:rsidRDefault="00982564" w:rsidP="00982564"/>
    <w:p w:rsidR="00982564" w:rsidRPr="00982564" w:rsidRDefault="00982564" w:rsidP="00982564">
      <w:pPr>
        <w:jc w:val="both"/>
        <w:rPr>
          <w:i/>
        </w:rPr>
      </w:pPr>
      <w:r w:rsidRPr="00982564">
        <w:rPr>
          <w:i/>
        </w:rPr>
        <w:t>Bio-Ethanol</w:t>
      </w:r>
    </w:p>
    <w:p w:rsidR="00982564" w:rsidRPr="00982564" w:rsidRDefault="00982564" w:rsidP="00982564">
      <w:pPr>
        <w:jc w:val="both"/>
      </w:pPr>
      <w:r w:rsidRPr="00982564">
        <w:t>Considering the context of the but-1</w:t>
      </w:r>
      <w:proofErr w:type="gramStart"/>
      <w:r w:rsidRPr="00982564">
        <w:t>,3</w:t>
      </w:r>
      <w:proofErr w:type="gramEnd"/>
      <w:r w:rsidRPr="00982564">
        <w:t xml:space="preserve">-diene case study, the bioethanol being used for this assessment is assumed to be produced in the European Union (EU). Hence, a general European feedstock mix for bioethanol is used for this assessment. This feedstock mix is based on the process ‘Ethanol (at distillation, RER/U, biomass)’ in the </w:t>
      </w:r>
      <w:proofErr w:type="spellStart"/>
      <w:r w:rsidRPr="00982564">
        <w:t>ecoinvent</w:t>
      </w:r>
      <w:proofErr w:type="spellEnd"/>
      <w:r w:rsidRPr="00982564">
        <w:t xml:space="preserve"> database</w:t>
      </w:r>
      <w:r w:rsidRPr="00982564">
        <w:rPr>
          <w:vertAlign w:val="superscript"/>
        </w:rPr>
        <w:t>12</w:t>
      </w:r>
      <w:r w:rsidRPr="00982564">
        <w:t xml:space="preserve">. </w:t>
      </w:r>
    </w:p>
    <w:p w:rsidR="00982564" w:rsidRPr="00982564" w:rsidRDefault="00982564" w:rsidP="00982564">
      <w:pPr>
        <w:ind w:firstLine="720"/>
        <w:jc w:val="both"/>
      </w:pPr>
      <w:r w:rsidRPr="00982564">
        <w:t xml:space="preserve">In the case of greenhouse gas (GHG) emissions associated with bioethanol a range of different values can be found in literature. Considering this variability, the European Union Directive 2009/28/EC represents a good benchmark for GHG emissions associated with bioethanol in the EU. This directive stipulates a 35% GHG savings per unit energy content, from a biofuel in comparison to its fossil counterpart. These GHG savings are the minimum requirement for a fuel to be classified as ‘biofuel’ for a variety of compliance purposes. Since, all bioethanol producers in EU are expected to comply with this </w:t>
      </w:r>
      <w:proofErr w:type="gramStart"/>
      <w:r w:rsidRPr="00982564">
        <w:t>directive,</w:t>
      </w:r>
      <w:proofErr w:type="gramEnd"/>
      <w:r w:rsidRPr="00982564">
        <w:t xml:space="preserve"> this was used as a reference for bioethanol GHG emissions in this study. The calculation procedure is as follows:</w:t>
      </w:r>
    </w:p>
    <w:p w:rsidR="00982564" w:rsidRPr="00982564" w:rsidRDefault="00982564" w:rsidP="00982564"/>
    <w:p w:rsidR="00982564" w:rsidRPr="00982564" w:rsidRDefault="00982564" w:rsidP="00982564">
      <w:pPr>
        <w:jc w:val="both"/>
      </w:pPr>
      <w:r w:rsidRPr="00982564">
        <w:lastRenderedPageBreak/>
        <w:t xml:space="preserve">GHG emissions associated with reference fossil fuel (including both production and use of fossil fuel): </w:t>
      </w:r>
      <w:proofErr w:type="gramStart"/>
      <w:r w:rsidRPr="00982564">
        <w:t>83.8 gCO</w:t>
      </w:r>
      <w:r w:rsidRPr="00982564">
        <w:rPr>
          <w:vertAlign w:val="subscript"/>
        </w:rPr>
        <w:t>2</w:t>
      </w:r>
      <w:r w:rsidRPr="00982564">
        <w:t>/MJ</w:t>
      </w:r>
      <w:proofErr w:type="gramEnd"/>
    </w:p>
    <w:p w:rsidR="00982564" w:rsidRPr="00982564" w:rsidRDefault="00982564" w:rsidP="00982564">
      <w:pPr>
        <w:jc w:val="both"/>
      </w:pPr>
    </w:p>
    <w:p w:rsidR="00982564" w:rsidRPr="00982564" w:rsidRDefault="00982564" w:rsidP="00982564">
      <w:pPr>
        <w:jc w:val="both"/>
      </w:pPr>
      <w:r w:rsidRPr="00982564">
        <w:t xml:space="preserve">GHG emissions associated with bioethanol based on 35% reduction: </w:t>
      </w:r>
      <w:proofErr w:type="gramStart"/>
      <w:r w:rsidRPr="00982564">
        <w:t>54.1 gCO</w:t>
      </w:r>
      <w:r w:rsidRPr="00982564">
        <w:rPr>
          <w:vertAlign w:val="subscript"/>
        </w:rPr>
        <w:t>2</w:t>
      </w:r>
      <w:r w:rsidRPr="00982564">
        <w:t>/MJ</w:t>
      </w:r>
      <w:proofErr w:type="gramEnd"/>
    </w:p>
    <w:p w:rsidR="00982564" w:rsidRPr="00982564" w:rsidRDefault="00982564" w:rsidP="00982564">
      <w:pPr>
        <w:jc w:val="both"/>
      </w:pPr>
    </w:p>
    <w:p w:rsidR="00982564" w:rsidRPr="00982564" w:rsidRDefault="00982564" w:rsidP="00982564">
      <w:pPr>
        <w:jc w:val="both"/>
      </w:pPr>
      <w:r w:rsidRPr="00982564">
        <w:t>Energy content of bioethanol: 26.9 MJ/kg</w:t>
      </w:r>
    </w:p>
    <w:p w:rsidR="00982564" w:rsidRPr="00982564" w:rsidRDefault="00982564" w:rsidP="00982564">
      <w:pPr>
        <w:jc w:val="both"/>
      </w:pPr>
    </w:p>
    <w:p w:rsidR="00982564" w:rsidRPr="00982564" w:rsidRDefault="00982564" w:rsidP="00982564">
      <w:pPr>
        <w:jc w:val="both"/>
      </w:pPr>
      <w:r w:rsidRPr="00982564">
        <w:t>Based on the above values, associated GHG emission value of 1.46 kg CO</w:t>
      </w:r>
      <w:r w:rsidRPr="00982564">
        <w:rPr>
          <w:vertAlign w:val="subscript"/>
        </w:rPr>
        <w:t>2</w:t>
      </w:r>
      <w:r w:rsidRPr="00982564">
        <w:t>/kg bioethanol is used for the case study. It should be noted that this value represents only the fossil CO</w:t>
      </w:r>
      <w:r w:rsidRPr="00982564">
        <w:rPr>
          <w:vertAlign w:val="subscript"/>
        </w:rPr>
        <w:t>2</w:t>
      </w:r>
      <w:r w:rsidRPr="00982564">
        <w:t xml:space="preserve"> emissions from the bioethanol production process. The biogenic CO</w:t>
      </w:r>
      <w:r w:rsidRPr="00982564">
        <w:rPr>
          <w:vertAlign w:val="subscript"/>
        </w:rPr>
        <w:t>2</w:t>
      </w:r>
      <w:r w:rsidRPr="00982564">
        <w:t xml:space="preserve"> emissions are not considered since the biogenic CO</w:t>
      </w:r>
      <w:r w:rsidRPr="00982564">
        <w:rPr>
          <w:vertAlign w:val="subscript"/>
        </w:rPr>
        <w:t>2</w:t>
      </w:r>
      <w:r w:rsidRPr="00982564">
        <w:t xml:space="preserve"> is recycled into biomass in a rather short time frame. </w:t>
      </w:r>
    </w:p>
    <w:p w:rsidR="00982564" w:rsidRPr="00982564" w:rsidRDefault="00982564" w:rsidP="00982564">
      <w:pPr>
        <w:jc w:val="both"/>
      </w:pPr>
    </w:p>
    <w:p w:rsidR="00982564" w:rsidRPr="00982564" w:rsidRDefault="00982564" w:rsidP="00982564">
      <w:pPr>
        <w:ind w:firstLine="720"/>
        <w:jc w:val="both"/>
      </w:pPr>
      <w:r w:rsidRPr="00982564">
        <w:t xml:space="preserve">The cumulative energy demand (CED) associated with bioethanol is derived from the mean value associated with the above mentioned ‘Ethanol (at distillation, RER/U, biomass)’ process in the </w:t>
      </w:r>
      <w:proofErr w:type="spellStart"/>
      <w:r w:rsidRPr="00982564">
        <w:t>ecoinvent</w:t>
      </w:r>
      <w:proofErr w:type="spellEnd"/>
      <w:r w:rsidRPr="00982564">
        <w:t xml:space="preserve"> database</w:t>
      </w:r>
      <w:r w:rsidRPr="00982564">
        <w:rPr>
          <w:vertAlign w:val="superscript"/>
        </w:rPr>
        <w:t>12</w:t>
      </w:r>
      <w:r w:rsidRPr="00982564">
        <w:t xml:space="preserve">. Based on this reference a value of 71.4 MJ/kg is used for the case study. </w:t>
      </w:r>
    </w:p>
    <w:p w:rsidR="00982564" w:rsidRPr="00982564" w:rsidRDefault="00982564" w:rsidP="00982564">
      <w:pPr>
        <w:jc w:val="both"/>
      </w:pPr>
    </w:p>
    <w:p w:rsidR="00982564" w:rsidRPr="00982564" w:rsidRDefault="00982564" w:rsidP="00982564">
      <w:pPr>
        <w:jc w:val="both"/>
        <w:rPr>
          <w:i/>
        </w:rPr>
      </w:pPr>
      <w:r w:rsidRPr="00982564">
        <w:rPr>
          <w:i/>
        </w:rPr>
        <w:t>Naphtha</w:t>
      </w:r>
    </w:p>
    <w:p w:rsidR="00982564" w:rsidRPr="00982564" w:rsidRDefault="00982564" w:rsidP="00982564">
      <w:pPr>
        <w:jc w:val="both"/>
      </w:pPr>
      <w:r w:rsidRPr="00982564">
        <w:t xml:space="preserve">Considering the EU context, the GHG emissions and CED associated with naphtha production are based on the process ‘Naphtha (at refinery, RER/U)’ in the </w:t>
      </w:r>
      <w:proofErr w:type="spellStart"/>
      <w:r w:rsidRPr="00982564">
        <w:t>ecoinvent</w:t>
      </w:r>
      <w:proofErr w:type="spellEnd"/>
      <w:r w:rsidRPr="00982564">
        <w:t xml:space="preserve"> database</w:t>
      </w:r>
      <w:r w:rsidRPr="00982564">
        <w:rPr>
          <w:vertAlign w:val="superscript"/>
        </w:rPr>
        <w:t>12</w:t>
      </w:r>
      <w:r w:rsidRPr="00982564">
        <w:t>. This represents an average for naphtha production in the EU. The corresponding mean values for GHG emissions and CED are 0.42 kg CO</w:t>
      </w:r>
      <w:r w:rsidRPr="00982564">
        <w:rPr>
          <w:vertAlign w:val="subscript"/>
        </w:rPr>
        <w:t>2</w:t>
      </w:r>
      <w:r w:rsidRPr="00982564">
        <w:t xml:space="preserve">/kg naphtha and </w:t>
      </w:r>
      <w:proofErr w:type="gramStart"/>
      <w:r w:rsidRPr="00982564">
        <w:t>53.1 MJ/kg naphtha respectively</w:t>
      </w:r>
      <w:proofErr w:type="gramEnd"/>
      <w:r w:rsidRPr="00982564">
        <w:t xml:space="preserve">. </w:t>
      </w:r>
    </w:p>
    <w:p w:rsidR="00982564" w:rsidRPr="00982564" w:rsidRDefault="00982564" w:rsidP="00982564">
      <w:pPr>
        <w:jc w:val="both"/>
      </w:pPr>
    </w:p>
    <w:p w:rsidR="00982564" w:rsidRPr="00982564" w:rsidRDefault="00982564" w:rsidP="00982564">
      <w:pPr>
        <w:ind w:firstLine="720"/>
        <w:jc w:val="both"/>
      </w:pPr>
      <w:r w:rsidRPr="00982564">
        <w:t xml:space="preserve">As evident, the GHG and CED values for a feedstock are based on benchmarked or average data. Hence, the inherent uncertainty has been considered in the uncertainty analysis.   </w:t>
      </w:r>
    </w:p>
    <w:p w:rsidR="00982564" w:rsidRPr="00982564" w:rsidRDefault="00982564" w:rsidP="00982564">
      <w:pPr>
        <w:pStyle w:val="Heading2"/>
        <w:rPr>
          <w:color w:val="auto"/>
        </w:rPr>
      </w:pPr>
      <w:r w:rsidRPr="00982564">
        <w:rPr>
          <w:color w:val="auto"/>
        </w:rPr>
        <w:t>Uncertainty parameters</w:t>
      </w:r>
    </w:p>
    <w:p w:rsidR="00982564" w:rsidRPr="00982564" w:rsidRDefault="00982564" w:rsidP="00982564"/>
    <w:p w:rsidR="00982564" w:rsidRPr="00982564" w:rsidRDefault="00982564" w:rsidP="00982564">
      <w:r w:rsidRPr="00982564">
        <w:t xml:space="preserve">The values presented in tables S4 and S5 are used for uncertainty analysis. </w:t>
      </w:r>
    </w:p>
    <w:p w:rsidR="00982564" w:rsidRPr="00982564" w:rsidRDefault="00982564" w:rsidP="00982564"/>
    <w:p w:rsidR="00982564" w:rsidRPr="00982564" w:rsidRDefault="00982564" w:rsidP="00982564">
      <w:pPr>
        <w:pStyle w:val="Caption"/>
        <w:keepNext/>
      </w:pPr>
      <w:r w:rsidRPr="00982564">
        <w:t>Table S4: Uncertainty analysis data</w:t>
      </w:r>
    </w:p>
    <w:tbl>
      <w:tblPr>
        <w:tblStyle w:val="LightShading1"/>
        <w:tblW w:w="0" w:type="auto"/>
        <w:tblLook w:val="04A0" w:firstRow="1" w:lastRow="0" w:firstColumn="1" w:lastColumn="0" w:noHBand="0" w:noVBand="1"/>
      </w:tblPr>
      <w:tblGrid>
        <w:gridCol w:w="2434"/>
        <w:gridCol w:w="1177"/>
        <w:gridCol w:w="1470"/>
        <w:gridCol w:w="901"/>
        <w:gridCol w:w="888"/>
        <w:gridCol w:w="817"/>
        <w:gridCol w:w="1045"/>
      </w:tblGrid>
      <w:tr w:rsidR="00982564" w:rsidRPr="00982564" w:rsidTr="00D86F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8" w:type="dxa"/>
          </w:tcPr>
          <w:p w:rsidR="00982564" w:rsidRPr="00982564" w:rsidRDefault="00982564" w:rsidP="00D86F84">
            <w:pPr>
              <w:rPr>
                <w:color w:val="auto"/>
              </w:rPr>
            </w:pPr>
          </w:p>
        </w:tc>
        <w:tc>
          <w:tcPr>
            <w:tcW w:w="1177" w:type="dxa"/>
          </w:tcPr>
          <w:p w:rsidR="00982564" w:rsidRPr="00982564" w:rsidRDefault="00982564" w:rsidP="00D86F84">
            <w:pPr>
              <w:cnfStyle w:val="100000000000" w:firstRow="1" w:lastRow="0" w:firstColumn="0" w:lastColumn="0" w:oddVBand="0" w:evenVBand="0" w:oddHBand="0" w:evenHBand="0" w:firstRowFirstColumn="0" w:firstRowLastColumn="0" w:lastRowFirstColumn="0" w:lastRowLastColumn="0"/>
              <w:rPr>
                <w:color w:val="auto"/>
              </w:rPr>
            </w:pPr>
            <w:r w:rsidRPr="00982564">
              <w:rPr>
                <w:color w:val="auto"/>
              </w:rPr>
              <w:t>Units</w:t>
            </w:r>
          </w:p>
        </w:tc>
        <w:tc>
          <w:tcPr>
            <w:tcW w:w="1383" w:type="dxa"/>
          </w:tcPr>
          <w:p w:rsidR="00982564" w:rsidRPr="00982564" w:rsidRDefault="00982564" w:rsidP="00D86F84">
            <w:pPr>
              <w:cnfStyle w:val="100000000000" w:firstRow="1" w:lastRow="0" w:firstColumn="0" w:lastColumn="0" w:oddVBand="0" w:evenVBand="0" w:oddHBand="0" w:evenHBand="0" w:firstRowFirstColumn="0" w:firstRowLastColumn="0" w:lastRowFirstColumn="0" w:lastRowLastColumn="0"/>
              <w:rPr>
                <w:color w:val="auto"/>
              </w:rPr>
            </w:pPr>
            <w:r w:rsidRPr="00982564">
              <w:rPr>
                <w:color w:val="auto"/>
              </w:rPr>
              <w:t>Distribution</w:t>
            </w:r>
          </w:p>
        </w:tc>
        <w:tc>
          <w:tcPr>
            <w:tcW w:w="901" w:type="dxa"/>
          </w:tcPr>
          <w:p w:rsidR="00982564" w:rsidRPr="00982564" w:rsidRDefault="00982564" w:rsidP="00D86F84">
            <w:pPr>
              <w:cnfStyle w:val="100000000000" w:firstRow="1" w:lastRow="0" w:firstColumn="0" w:lastColumn="0" w:oddVBand="0" w:evenVBand="0" w:oddHBand="0" w:evenHBand="0" w:firstRowFirstColumn="0" w:firstRowLastColumn="0" w:lastRowFirstColumn="0" w:lastRowLastColumn="0"/>
              <w:rPr>
                <w:color w:val="auto"/>
              </w:rPr>
            </w:pPr>
            <w:r w:rsidRPr="00982564">
              <w:rPr>
                <w:color w:val="auto"/>
              </w:rPr>
              <w:t>Mean</w:t>
            </w:r>
          </w:p>
        </w:tc>
        <w:tc>
          <w:tcPr>
            <w:tcW w:w="888" w:type="dxa"/>
          </w:tcPr>
          <w:p w:rsidR="00982564" w:rsidRPr="00982564" w:rsidRDefault="00982564" w:rsidP="00D86F84">
            <w:pPr>
              <w:cnfStyle w:val="100000000000" w:firstRow="1" w:lastRow="0" w:firstColumn="0" w:lastColumn="0" w:oddVBand="0" w:evenVBand="0" w:oddHBand="0" w:evenHBand="0" w:firstRowFirstColumn="0" w:firstRowLastColumn="0" w:lastRowFirstColumn="0" w:lastRowLastColumn="0"/>
              <w:rPr>
                <w:color w:val="auto"/>
              </w:rPr>
            </w:pPr>
            <w:r w:rsidRPr="00982564">
              <w:rPr>
                <w:color w:val="auto"/>
              </w:rPr>
              <w:t xml:space="preserve">Std. Dev. </w:t>
            </w:r>
          </w:p>
        </w:tc>
        <w:tc>
          <w:tcPr>
            <w:tcW w:w="817" w:type="dxa"/>
          </w:tcPr>
          <w:p w:rsidR="00982564" w:rsidRPr="00982564" w:rsidRDefault="00982564" w:rsidP="00D86F84">
            <w:pPr>
              <w:cnfStyle w:val="100000000000" w:firstRow="1" w:lastRow="0" w:firstColumn="0" w:lastColumn="0" w:oddVBand="0" w:evenVBand="0" w:oddHBand="0" w:evenHBand="0" w:firstRowFirstColumn="0" w:firstRowLastColumn="0" w:lastRowFirstColumn="0" w:lastRowLastColumn="0"/>
              <w:rPr>
                <w:color w:val="auto"/>
              </w:rPr>
            </w:pPr>
            <w:r w:rsidRPr="00982564">
              <w:rPr>
                <w:color w:val="auto"/>
              </w:rPr>
              <w:t>Max</w:t>
            </w:r>
          </w:p>
        </w:tc>
        <w:tc>
          <w:tcPr>
            <w:tcW w:w="1045" w:type="dxa"/>
          </w:tcPr>
          <w:p w:rsidR="00982564" w:rsidRPr="00982564" w:rsidRDefault="00982564" w:rsidP="00D86F84">
            <w:pPr>
              <w:cnfStyle w:val="100000000000" w:firstRow="1" w:lastRow="0" w:firstColumn="0" w:lastColumn="0" w:oddVBand="0" w:evenVBand="0" w:oddHBand="0" w:evenHBand="0" w:firstRowFirstColumn="0" w:firstRowLastColumn="0" w:lastRowFirstColumn="0" w:lastRowLastColumn="0"/>
              <w:rPr>
                <w:color w:val="auto"/>
              </w:rPr>
            </w:pPr>
            <w:r w:rsidRPr="00982564">
              <w:rPr>
                <w:color w:val="auto"/>
              </w:rPr>
              <w:t>Min</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8" w:type="dxa"/>
          </w:tcPr>
          <w:p w:rsidR="00982564" w:rsidRPr="00982564" w:rsidRDefault="00982564" w:rsidP="00D86F84">
            <w:pPr>
              <w:rPr>
                <w:color w:val="auto"/>
              </w:rPr>
            </w:pPr>
            <w:r w:rsidRPr="00982564">
              <w:rPr>
                <w:color w:val="auto"/>
              </w:rPr>
              <w:t>CED</w:t>
            </w:r>
            <w:r w:rsidRPr="00982564">
              <w:rPr>
                <w:color w:val="auto"/>
                <w:vertAlign w:val="subscript"/>
              </w:rPr>
              <w:t>ethanol</w:t>
            </w:r>
          </w:p>
        </w:tc>
        <w:tc>
          <w:tcPr>
            <w:tcW w:w="1177"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MJ/kg</w:t>
            </w:r>
          </w:p>
        </w:tc>
        <w:tc>
          <w:tcPr>
            <w:tcW w:w="1383"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Normal</w:t>
            </w:r>
          </w:p>
        </w:tc>
        <w:tc>
          <w:tcPr>
            <w:tcW w:w="901"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71.4</w:t>
            </w:r>
          </w:p>
        </w:tc>
        <w:tc>
          <w:tcPr>
            <w:tcW w:w="888"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8.92</w:t>
            </w:r>
          </w:p>
        </w:tc>
        <w:tc>
          <w:tcPr>
            <w:tcW w:w="817"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p>
        </w:tc>
        <w:tc>
          <w:tcPr>
            <w:tcW w:w="1045"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2318" w:type="dxa"/>
          </w:tcPr>
          <w:p w:rsidR="00982564" w:rsidRPr="00982564" w:rsidRDefault="00982564" w:rsidP="00D86F84">
            <w:pPr>
              <w:rPr>
                <w:color w:val="auto"/>
              </w:rPr>
            </w:pPr>
            <w:r w:rsidRPr="00982564">
              <w:rPr>
                <w:color w:val="auto"/>
              </w:rPr>
              <w:t>CED</w:t>
            </w:r>
            <w:r w:rsidRPr="00982564">
              <w:rPr>
                <w:color w:val="auto"/>
                <w:vertAlign w:val="subscript"/>
              </w:rPr>
              <w:t>naphtha</w:t>
            </w:r>
          </w:p>
        </w:tc>
        <w:tc>
          <w:tcPr>
            <w:tcW w:w="1177"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MJ/kg</w:t>
            </w:r>
          </w:p>
        </w:tc>
        <w:tc>
          <w:tcPr>
            <w:tcW w:w="1383"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Normal</w:t>
            </w:r>
          </w:p>
        </w:tc>
        <w:tc>
          <w:tcPr>
            <w:tcW w:w="901"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53.1</w:t>
            </w:r>
          </w:p>
        </w:tc>
        <w:tc>
          <w:tcPr>
            <w:tcW w:w="888"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1.66</w:t>
            </w:r>
          </w:p>
        </w:tc>
        <w:tc>
          <w:tcPr>
            <w:tcW w:w="817"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c>
          <w:tcPr>
            <w:tcW w:w="1045"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8" w:type="dxa"/>
          </w:tcPr>
          <w:p w:rsidR="00982564" w:rsidRPr="00982564" w:rsidRDefault="00982564" w:rsidP="00D86F84">
            <w:pPr>
              <w:rPr>
                <w:color w:val="auto"/>
              </w:rPr>
            </w:pPr>
            <w:r w:rsidRPr="00982564">
              <w:rPr>
                <w:color w:val="auto"/>
              </w:rPr>
              <w:t>GHG</w:t>
            </w:r>
            <w:r w:rsidRPr="00982564">
              <w:rPr>
                <w:color w:val="auto"/>
                <w:vertAlign w:val="subscript"/>
              </w:rPr>
              <w:t>ethanol</w:t>
            </w:r>
          </w:p>
        </w:tc>
        <w:tc>
          <w:tcPr>
            <w:tcW w:w="1177"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kgCO</w:t>
            </w:r>
            <w:r w:rsidRPr="00982564">
              <w:rPr>
                <w:color w:val="auto"/>
                <w:vertAlign w:val="subscript"/>
              </w:rPr>
              <w:t>2</w:t>
            </w:r>
            <w:r w:rsidRPr="00982564">
              <w:rPr>
                <w:color w:val="auto"/>
              </w:rPr>
              <w:t>/kg</w:t>
            </w:r>
          </w:p>
        </w:tc>
        <w:tc>
          <w:tcPr>
            <w:tcW w:w="1383"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Lognormal</w:t>
            </w:r>
          </w:p>
        </w:tc>
        <w:tc>
          <w:tcPr>
            <w:tcW w:w="901"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1.46</w:t>
            </w:r>
          </w:p>
        </w:tc>
        <w:tc>
          <w:tcPr>
            <w:tcW w:w="888"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0.52</w:t>
            </w:r>
          </w:p>
        </w:tc>
        <w:tc>
          <w:tcPr>
            <w:tcW w:w="817"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p>
        </w:tc>
        <w:tc>
          <w:tcPr>
            <w:tcW w:w="1045"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2318" w:type="dxa"/>
          </w:tcPr>
          <w:p w:rsidR="00982564" w:rsidRPr="00982564" w:rsidRDefault="00982564" w:rsidP="00D86F84">
            <w:pPr>
              <w:rPr>
                <w:color w:val="auto"/>
              </w:rPr>
            </w:pPr>
            <w:r w:rsidRPr="00982564">
              <w:rPr>
                <w:color w:val="auto"/>
              </w:rPr>
              <w:t>GHG</w:t>
            </w:r>
            <w:r w:rsidRPr="00982564">
              <w:rPr>
                <w:color w:val="auto"/>
                <w:vertAlign w:val="subscript"/>
              </w:rPr>
              <w:t>naphtha</w:t>
            </w:r>
          </w:p>
        </w:tc>
        <w:tc>
          <w:tcPr>
            <w:tcW w:w="1177"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kgCO</w:t>
            </w:r>
            <w:r w:rsidRPr="00982564">
              <w:rPr>
                <w:color w:val="auto"/>
                <w:vertAlign w:val="subscript"/>
              </w:rPr>
              <w:t>2</w:t>
            </w:r>
            <w:r w:rsidRPr="00982564">
              <w:rPr>
                <w:color w:val="auto"/>
              </w:rPr>
              <w:t>/kg</w:t>
            </w:r>
          </w:p>
        </w:tc>
        <w:tc>
          <w:tcPr>
            <w:tcW w:w="1383"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Normal</w:t>
            </w:r>
          </w:p>
        </w:tc>
        <w:tc>
          <w:tcPr>
            <w:tcW w:w="901"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0.42</w:t>
            </w:r>
          </w:p>
        </w:tc>
        <w:tc>
          <w:tcPr>
            <w:tcW w:w="888"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0.04</w:t>
            </w:r>
          </w:p>
        </w:tc>
        <w:tc>
          <w:tcPr>
            <w:tcW w:w="817"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c>
          <w:tcPr>
            <w:tcW w:w="1045"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8" w:type="dxa"/>
          </w:tcPr>
          <w:p w:rsidR="00982564" w:rsidRPr="00982564" w:rsidRDefault="00982564" w:rsidP="00D86F84">
            <w:pPr>
              <w:rPr>
                <w:color w:val="auto"/>
              </w:rPr>
            </w:pPr>
            <w:r w:rsidRPr="00982564">
              <w:rPr>
                <w:color w:val="auto"/>
              </w:rPr>
              <w:t>Selectivity</w:t>
            </w:r>
            <w:r w:rsidRPr="00982564">
              <w:rPr>
                <w:color w:val="auto"/>
                <w:vertAlign w:val="subscript"/>
              </w:rPr>
              <w:t>EtOH2butadiene</w:t>
            </w:r>
          </w:p>
        </w:tc>
        <w:tc>
          <w:tcPr>
            <w:tcW w:w="1177"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p>
        </w:tc>
        <w:tc>
          <w:tcPr>
            <w:tcW w:w="1383"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Triangular</w:t>
            </w:r>
          </w:p>
        </w:tc>
        <w:tc>
          <w:tcPr>
            <w:tcW w:w="901"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0.78</w:t>
            </w:r>
          </w:p>
        </w:tc>
        <w:tc>
          <w:tcPr>
            <w:tcW w:w="888"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p>
        </w:tc>
        <w:tc>
          <w:tcPr>
            <w:tcW w:w="817"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w:t>
            </w:r>
          </w:p>
        </w:tc>
        <w:tc>
          <w:tcPr>
            <w:tcW w:w="1045"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1</w:t>
            </w: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2318" w:type="dxa"/>
          </w:tcPr>
          <w:p w:rsidR="00982564" w:rsidRPr="00982564" w:rsidRDefault="00982564" w:rsidP="00D86F84">
            <w:pPr>
              <w:rPr>
                <w:color w:val="auto"/>
              </w:rPr>
            </w:pPr>
            <w:r w:rsidRPr="00982564">
              <w:rPr>
                <w:color w:val="auto"/>
              </w:rPr>
              <w:t>Prices</w:t>
            </w:r>
          </w:p>
        </w:tc>
        <w:tc>
          <w:tcPr>
            <w:tcW w:w="1177"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c>
          <w:tcPr>
            <w:tcW w:w="1383"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c>
          <w:tcPr>
            <w:tcW w:w="901"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c>
          <w:tcPr>
            <w:tcW w:w="888"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c>
          <w:tcPr>
            <w:tcW w:w="817"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c>
          <w:tcPr>
            <w:tcW w:w="1045"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8" w:type="dxa"/>
          </w:tcPr>
          <w:p w:rsidR="00982564" w:rsidRPr="00982564" w:rsidRDefault="00982564" w:rsidP="00D86F84">
            <w:pPr>
              <w:rPr>
                <w:color w:val="auto"/>
              </w:rPr>
            </w:pPr>
            <w:r w:rsidRPr="00982564">
              <w:rPr>
                <w:color w:val="auto"/>
              </w:rPr>
              <w:t xml:space="preserve"> Ethylene</w:t>
            </w:r>
          </w:p>
        </w:tc>
        <w:tc>
          <w:tcPr>
            <w:tcW w:w="1177"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Euro/MT</w:t>
            </w:r>
          </w:p>
        </w:tc>
        <w:tc>
          <w:tcPr>
            <w:tcW w:w="1383"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Normal</w:t>
            </w:r>
          </w:p>
        </w:tc>
        <w:tc>
          <w:tcPr>
            <w:tcW w:w="901"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951</w:t>
            </w:r>
          </w:p>
        </w:tc>
        <w:tc>
          <w:tcPr>
            <w:tcW w:w="888"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182</w:t>
            </w:r>
          </w:p>
        </w:tc>
        <w:tc>
          <w:tcPr>
            <w:tcW w:w="817"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p>
        </w:tc>
        <w:tc>
          <w:tcPr>
            <w:tcW w:w="1045"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2318" w:type="dxa"/>
          </w:tcPr>
          <w:p w:rsidR="00982564" w:rsidRPr="00982564" w:rsidRDefault="00982564" w:rsidP="00D86F84">
            <w:pPr>
              <w:rPr>
                <w:color w:val="auto"/>
              </w:rPr>
            </w:pPr>
            <w:r w:rsidRPr="00982564">
              <w:rPr>
                <w:color w:val="auto"/>
              </w:rPr>
              <w:t xml:space="preserve"> Butadiene</w:t>
            </w:r>
          </w:p>
        </w:tc>
        <w:tc>
          <w:tcPr>
            <w:tcW w:w="1177"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Euro/MT</w:t>
            </w:r>
          </w:p>
        </w:tc>
        <w:tc>
          <w:tcPr>
            <w:tcW w:w="1383"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 xml:space="preserve">Normal </w:t>
            </w:r>
          </w:p>
        </w:tc>
        <w:tc>
          <w:tcPr>
            <w:tcW w:w="901"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1292</w:t>
            </w:r>
          </w:p>
        </w:tc>
        <w:tc>
          <w:tcPr>
            <w:tcW w:w="888"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498</w:t>
            </w:r>
          </w:p>
        </w:tc>
        <w:tc>
          <w:tcPr>
            <w:tcW w:w="817"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c>
          <w:tcPr>
            <w:tcW w:w="1045"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0(trunc)</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8" w:type="dxa"/>
          </w:tcPr>
          <w:p w:rsidR="00982564" w:rsidRPr="00982564" w:rsidRDefault="00982564" w:rsidP="00D86F84">
            <w:pPr>
              <w:rPr>
                <w:color w:val="auto"/>
              </w:rPr>
            </w:pPr>
            <w:r w:rsidRPr="00982564">
              <w:rPr>
                <w:color w:val="auto"/>
              </w:rPr>
              <w:t xml:space="preserve"> Naphtha</w:t>
            </w:r>
          </w:p>
        </w:tc>
        <w:tc>
          <w:tcPr>
            <w:tcW w:w="1177"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Euro/MT</w:t>
            </w:r>
          </w:p>
        </w:tc>
        <w:tc>
          <w:tcPr>
            <w:tcW w:w="1383"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 xml:space="preserve">Normal </w:t>
            </w:r>
          </w:p>
        </w:tc>
        <w:tc>
          <w:tcPr>
            <w:tcW w:w="901"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679</w:t>
            </w:r>
          </w:p>
        </w:tc>
        <w:tc>
          <w:tcPr>
            <w:tcW w:w="888"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208</w:t>
            </w:r>
          </w:p>
        </w:tc>
        <w:tc>
          <w:tcPr>
            <w:tcW w:w="817"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p>
        </w:tc>
        <w:tc>
          <w:tcPr>
            <w:tcW w:w="1045"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0(trunc)</w:t>
            </w: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2318" w:type="dxa"/>
          </w:tcPr>
          <w:p w:rsidR="00982564" w:rsidRPr="00982564" w:rsidRDefault="00982564" w:rsidP="00D86F84">
            <w:pPr>
              <w:rPr>
                <w:color w:val="auto"/>
              </w:rPr>
            </w:pPr>
            <w:r w:rsidRPr="00982564">
              <w:rPr>
                <w:color w:val="auto"/>
              </w:rPr>
              <w:t xml:space="preserve"> Propylene</w:t>
            </w:r>
          </w:p>
        </w:tc>
        <w:tc>
          <w:tcPr>
            <w:tcW w:w="1177"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Euro/MT</w:t>
            </w:r>
          </w:p>
        </w:tc>
        <w:tc>
          <w:tcPr>
            <w:tcW w:w="1383"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 xml:space="preserve">Normal </w:t>
            </w:r>
          </w:p>
        </w:tc>
        <w:tc>
          <w:tcPr>
            <w:tcW w:w="901"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767</w:t>
            </w:r>
          </w:p>
        </w:tc>
        <w:tc>
          <w:tcPr>
            <w:tcW w:w="888"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213</w:t>
            </w:r>
          </w:p>
        </w:tc>
        <w:tc>
          <w:tcPr>
            <w:tcW w:w="817"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c>
          <w:tcPr>
            <w:tcW w:w="1045"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r>
      <w:tr w:rsidR="00982564" w:rsidRPr="00982564" w:rsidTr="00D86F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8" w:type="dxa"/>
          </w:tcPr>
          <w:p w:rsidR="00982564" w:rsidRPr="00982564" w:rsidRDefault="00982564" w:rsidP="00D86F84">
            <w:pPr>
              <w:rPr>
                <w:color w:val="auto"/>
              </w:rPr>
            </w:pPr>
            <w:r w:rsidRPr="00982564">
              <w:rPr>
                <w:color w:val="auto"/>
              </w:rPr>
              <w:t xml:space="preserve"> Benzene</w:t>
            </w:r>
          </w:p>
        </w:tc>
        <w:tc>
          <w:tcPr>
            <w:tcW w:w="1177"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Euro/MT</w:t>
            </w:r>
          </w:p>
        </w:tc>
        <w:tc>
          <w:tcPr>
            <w:tcW w:w="1383"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 xml:space="preserve">Normal </w:t>
            </w:r>
          </w:p>
        </w:tc>
        <w:tc>
          <w:tcPr>
            <w:tcW w:w="901"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927</w:t>
            </w:r>
          </w:p>
        </w:tc>
        <w:tc>
          <w:tcPr>
            <w:tcW w:w="888"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288</w:t>
            </w:r>
          </w:p>
        </w:tc>
        <w:tc>
          <w:tcPr>
            <w:tcW w:w="817"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p>
        </w:tc>
        <w:tc>
          <w:tcPr>
            <w:tcW w:w="1045" w:type="dxa"/>
          </w:tcPr>
          <w:p w:rsidR="00982564" w:rsidRPr="00982564" w:rsidRDefault="00982564" w:rsidP="00D86F84">
            <w:pPr>
              <w:cnfStyle w:val="000000100000" w:firstRow="0" w:lastRow="0" w:firstColumn="0" w:lastColumn="0" w:oddVBand="0" w:evenVBand="0" w:oddHBand="1" w:evenHBand="0" w:firstRowFirstColumn="0" w:firstRowLastColumn="0" w:lastRowFirstColumn="0" w:lastRowLastColumn="0"/>
              <w:rPr>
                <w:color w:val="auto"/>
              </w:rPr>
            </w:pPr>
          </w:p>
        </w:tc>
      </w:tr>
      <w:tr w:rsidR="00982564" w:rsidRPr="00982564" w:rsidTr="00D86F84">
        <w:tc>
          <w:tcPr>
            <w:cnfStyle w:val="001000000000" w:firstRow="0" w:lastRow="0" w:firstColumn="1" w:lastColumn="0" w:oddVBand="0" w:evenVBand="0" w:oddHBand="0" w:evenHBand="0" w:firstRowFirstColumn="0" w:firstRowLastColumn="0" w:lastRowFirstColumn="0" w:lastRowLastColumn="0"/>
            <w:tcW w:w="2318" w:type="dxa"/>
          </w:tcPr>
          <w:p w:rsidR="00982564" w:rsidRPr="00982564" w:rsidRDefault="00982564" w:rsidP="00D86F84">
            <w:pPr>
              <w:rPr>
                <w:color w:val="auto"/>
              </w:rPr>
            </w:pPr>
            <w:r w:rsidRPr="00982564">
              <w:rPr>
                <w:color w:val="auto"/>
              </w:rPr>
              <w:t xml:space="preserve"> Ethanol</w:t>
            </w:r>
          </w:p>
        </w:tc>
        <w:tc>
          <w:tcPr>
            <w:tcW w:w="1177"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Euro/MT</w:t>
            </w:r>
          </w:p>
        </w:tc>
        <w:tc>
          <w:tcPr>
            <w:tcW w:w="1383"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 xml:space="preserve">Normal </w:t>
            </w:r>
          </w:p>
        </w:tc>
        <w:tc>
          <w:tcPr>
            <w:tcW w:w="901"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666</w:t>
            </w:r>
          </w:p>
        </w:tc>
        <w:tc>
          <w:tcPr>
            <w:tcW w:w="888"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71.6</w:t>
            </w:r>
          </w:p>
        </w:tc>
        <w:tc>
          <w:tcPr>
            <w:tcW w:w="817"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c>
          <w:tcPr>
            <w:tcW w:w="1045" w:type="dxa"/>
          </w:tcPr>
          <w:p w:rsidR="00982564" w:rsidRPr="00982564" w:rsidRDefault="00982564" w:rsidP="00D86F84">
            <w:pPr>
              <w:cnfStyle w:val="000000000000" w:firstRow="0" w:lastRow="0" w:firstColumn="0" w:lastColumn="0" w:oddVBand="0" w:evenVBand="0" w:oddHBand="0" w:evenHBand="0" w:firstRowFirstColumn="0" w:firstRowLastColumn="0" w:lastRowFirstColumn="0" w:lastRowLastColumn="0"/>
              <w:rPr>
                <w:color w:val="auto"/>
              </w:rPr>
            </w:pPr>
          </w:p>
        </w:tc>
      </w:tr>
    </w:tbl>
    <w:p w:rsidR="00982564" w:rsidRPr="00982564" w:rsidRDefault="00982564" w:rsidP="00982564"/>
    <w:p w:rsidR="00982564" w:rsidRPr="00982564" w:rsidRDefault="00982564" w:rsidP="00982564">
      <w:pPr>
        <w:pStyle w:val="Caption"/>
        <w:keepNext/>
      </w:pPr>
      <w:r w:rsidRPr="00982564">
        <w:lastRenderedPageBreak/>
        <w:t>Table S5: Price correlations for uncertainty analysis</w:t>
      </w:r>
    </w:p>
    <w:tbl>
      <w:tblPr>
        <w:tblStyle w:val="LightShading1"/>
        <w:tblW w:w="0" w:type="auto"/>
        <w:tblLook w:val="04A0" w:firstRow="1" w:lastRow="0" w:firstColumn="1" w:lastColumn="0" w:noHBand="0" w:noVBand="1"/>
      </w:tblPr>
      <w:tblGrid>
        <w:gridCol w:w="1384"/>
        <w:gridCol w:w="1478"/>
        <w:gridCol w:w="1190"/>
        <w:gridCol w:w="1076"/>
        <w:gridCol w:w="1190"/>
        <w:gridCol w:w="1190"/>
        <w:gridCol w:w="1021"/>
      </w:tblGrid>
      <w:tr w:rsidR="00982564" w:rsidRPr="00982564" w:rsidTr="00D86F8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4" w:type="dxa"/>
            <w:noWrap/>
            <w:hideMark/>
          </w:tcPr>
          <w:p w:rsidR="00982564" w:rsidRPr="00982564" w:rsidRDefault="00982564" w:rsidP="00D86F84">
            <w:pPr>
              <w:jc w:val="center"/>
              <w:rPr>
                <w:rFonts w:eastAsiaTheme="majorEastAsia"/>
                <w:color w:val="auto"/>
              </w:rPr>
            </w:pPr>
          </w:p>
        </w:tc>
        <w:tc>
          <w:tcPr>
            <w:tcW w:w="1478" w:type="dxa"/>
            <w:noWrap/>
            <w:hideMark/>
          </w:tcPr>
          <w:p w:rsidR="00982564" w:rsidRPr="00982564" w:rsidRDefault="00982564" w:rsidP="00D86F84">
            <w:pPr>
              <w:jc w:val="center"/>
              <w:cnfStyle w:val="100000000000" w:firstRow="1" w:lastRow="0" w:firstColumn="0" w:lastColumn="0" w:oddVBand="0" w:evenVBand="0" w:oddHBand="0" w:evenHBand="0" w:firstRowFirstColumn="0" w:firstRowLastColumn="0" w:lastRowFirstColumn="0" w:lastRowLastColumn="0"/>
              <w:rPr>
                <w:rFonts w:eastAsiaTheme="majorEastAsia"/>
                <w:b w:val="0"/>
                <w:color w:val="auto"/>
              </w:rPr>
            </w:pPr>
            <w:r w:rsidRPr="00982564">
              <w:rPr>
                <w:rFonts w:eastAsiaTheme="majorEastAsia"/>
                <w:b w:val="0"/>
                <w:color w:val="auto"/>
              </w:rPr>
              <w:t>Ethylene</w:t>
            </w:r>
          </w:p>
        </w:tc>
        <w:tc>
          <w:tcPr>
            <w:tcW w:w="1190" w:type="dxa"/>
            <w:noWrap/>
            <w:hideMark/>
          </w:tcPr>
          <w:p w:rsidR="00982564" w:rsidRPr="00982564" w:rsidRDefault="00982564" w:rsidP="00D86F84">
            <w:pPr>
              <w:jc w:val="center"/>
              <w:cnfStyle w:val="100000000000" w:firstRow="1" w:lastRow="0" w:firstColumn="0" w:lastColumn="0" w:oddVBand="0" w:evenVBand="0" w:oddHBand="0" w:evenHBand="0" w:firstRowFirstColumn="0" w:firstRowLastColumn="0" w:lastRowFirstColumn="0" w:lastRowLastColumn="0"/>
              <w:rPr>
                <w:rFonts w:eastAsiaTheme="majorEastAsia"/>
                <w:b w:val="0"/>
                <w:color w:val="auto"/>
              </w:rPr>
            </w:pPr>
            <w:r w:rsidRPr="00982564">
              <w:rPr>
                <w:rFonts w:eastAsiaTheme="majorEastAsia"/>
                <w:b w:val="0"/>
                <w:color w:val="auto"/>
              </w:rPr>
              <w:t>Butadiene</w:t>
            </w:r>
          </w:p>
        </w:tc>
        <w:tc>
          <w:tcPr>
            <w:tcW w:w="1076" w:type="dxa"/>
            <w:noWrap/>
            <w:hideMark/>
          </w:tcPr>
          <w:p w:rsidR="00982564" w:rsidRPr="00982564" w:rsidRDefault="00982564" w:rsidP="00D86F84">
            <w:pPr>
              <w:jc w:val="center"/>
              <w:cnfStyle w:val="100000000000" w:firstRow="1" w:lastRow="0" w:firstColumn="0" w:lastColumn="0" w:oddVBand="0" w:evenVBand="0" w:oddHBand="0" w:evenHBand="0" w:firstRowFirstColumn="0" w:firstRowLastColumn="0" w:lastRowFirstColumn="0" w:lastRowLastColumn="0"/>
              <w:rPr>
                <w:rFonts w:eastAsiaTheme="majorEastAsia"/>
                <w:b w:val="0"/>
                <w:color w:val="auto"/>
              </w:rPr>
            </w:pPr>
            <w:r w:rsidRPr="00982564">
              <w:rPr>
                <w:rFonts w:eastAsiaTheme="majorEastAsia"/>
                <w:b w:val="0"/>
                <w:color w:val="auto"/>
              </w:rPr>
              <w:t>Naphtha</w:t>
            </w:r>
          </w:p>
        </w:tc>
        <w:tc>
          <w:tcPr>
            <w:tcW w:w="1190" w:type="dxa"/>
            <w:noWrap/>
            <w:hideMark/>
          </w:tcPr>
          <w:p w:rsidR="00982564" w:rsidRPr="00982564" w:rsidRDefault="00982564" w:rsidP="00D86F84">
            <w:pPr>
              <w:jc w:val="center"/>
              <w:cnfStyle w:val="100000000000" w:firstRow="1" w:lastRow="0" w:firstColumn="0" w:lastColumn="0" w:oddVBand="0" w:evenVBand="0" w:oddHBand="0" w:evenHBand="0" w:firstRowFirstColumn="0" w:firstRowLastColumn="0" w:lastRowFirstColumn="0" w:lastRowLastColumn="0"/>
              <w:rPr>
                <w:rFonts w:eastAsiaTheme="majorEastAsia"/>
                <w:b w:val="0"/>
                <w:color w:val="auto"/>
              </w:rPr>
            </w:pPr>
            <w:r w:rsidRPr="00982564">
              <w:rPr>
                <w:rFonts w:eastAsiaTheme="majorEastAsia"/>
                <w:b w:val="0"/>
                <w:color w:val="auto"/>
              </w:rPr>
              <w:t>Propylene</w:t>
            </w:r>
          </w:p>
        </w:tc>
        <w:tc>
          <w:tcPr>
            <w:tcW w:w="1190" w:type="dxa"/>
            <w:noWrap/>
            <w:hideMark/>
          </w:tcPr>
          <w:p w:rsidR="00982564" w:rsidRPr="00982564" w:rsidRDefault="00982564" w:rsidP="00D86F84">
            <w:pPr>
              <w:jc w:val="center"/>
              <w:cnfStyle w:val="100000000000" w:firstRow="1" w:lastRow="0" w:firstColumn="0" w:lastColumn="0" w:oddVBand="0" w:evenVBand="0" w:oddHBand="0" w:evenHBand="0" w:firstRowFirstColumn="0" w:firstRowLastColumn="0" w:lastRowFirstColumn="0" w:lastRowLastColumn="0"/>
              <w:rPr>
                <w:rFonts w:eastAsiaTheme="majorEastAsia"/>
                <w:b w:val="0"/>
                <w:color w:val="auto"/>
              </w:rPr>
            </w:pPr>
            <w:r w:rsidRPr="00982564">
              <w:rPr>
                <w:rFonts w:eastAsiaTheme="majorEastAsia"/>
                <w:b w:val="0"/>
                <w:color w:val="auto"/>
              </w:rPr>
              <w:t>Benzene</w:t>
            </w:r>
          </w:p>
        </w:tc>
        <w:tc>
          <w:tcPr>
            <w:tcW w:w="1021" w:type="dxa"/>
            <w:noWrap/>
            <w:hideMark/>
          </w:tcPr>
          <w:p w:rsidR="00982564" w:rsidRPr="00982564" w:rsidRDefault="00982564" w:rsidP="00D86F84">
            <w:pPr>
              <w:jc w:val="center"/>
              <w:cnfStyle w:val="100000000000" w:firstRow="1" w:lastRow="0" w:firstColumn="0" w:lastColumn="0" w:oddVBand="0" w:evenVBand="0" w:oddHBand="0" w:evenHBand="0" w:firstRowFirstColumn="0" w:firstRowLastColumn="0" w:lastRowFirstColumn="0" w:lastRowLastColumn="0"/>
              <w:rPr>
                <w:rFonts w:eastAsiaTheme="majorEastAsia"/>
                <w:b w:val="0"/>
                <w:color w:val="auto"/>
              </w:rPr>
            </w:pPr>
            <w:r w:rsidRPr="00982564">
              <w:rPr>
                <w:rFonts w:eastAsiaTheme="majorEastAsia"/>
                <w:b w:val="0"/>
                <w:color w:val="auto"/>
              </w:rPr>
              <w:t>Ethanol</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4" w:type="dxa"/>
            <w:noWrap/>
            <w:hideMark/>
          </w:tcPr>
          <w:p w:rsidR="00982564" w:rsidRPr="00982564" w:rsidRDefault="00982564" w:rsidP="00D86F84">
            <w:pPr>
              <w:jc w:val="center"/>
              <w:rPr>
                <w:rFonts w:eastAsiaTheme="majorEastAsia"/>
                <w:b w:val="0"/>
                <w:color w:val="auto"/>
              </w:rPr>
            </w:pPr>
            <w:r w:rsidRPr="00982564">
              <w:rPr>
                <w:rFonts w:eastAsiaTheme="majorEastAsia"/>
                <w:b w:val="0"/>
                <w:color w:val="auto"/>
              </w:rPr>
              <w:t>Ethylene</w:t>
            </w:r>
          </w:p>
        </w:tc>
        <w:tc>
          <w:tcPr>
            <w:tcW w:w="1478"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1.0</w:t>
            </w:r>
          </w:p>
        </w:tc>
        <w:tc>
          <w:tcPr>
            <w:tcW w:w="1190"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p>
        </w:tc>
        <w:tc>
          <w:tcPr>
            <w:tcW w:w="1076"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p>
        </w:tc>
        <w:tc>
          <w:tcPr>
            <w:tcW w:w="1190"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p>
        </w:tc>
        <w:tc>
          <w:tcPr>
            <w:tcW w:w="1190"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p>
        </w:tc>
        <w:tc>
          <w:tcPr>
            <w:tcW w:w="1021"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p>
        </w:tc>
      </w:tr>
      <w:tr w:rsidR="00982564" w:rsidRPr="00982564" w:rsidTr="00D86F84">
        <w:trPr>
          <w:trHeight w:val="300"/>
        </w:trPr>
        <w:tc>
          <w:tcPr>
            <w:cnfStyle w:val="001000000000" w:firstRow="0" w:lastRow="0" w:firstColumn="1" w:lastColumn="0" w:oddVBand="0" w:evenVBand="0" w:oddHBand="0" w:evenHBand="0" w:firstRowFirstColumn="0" w:firstRowLastColumn="0" w:lastRowFirstColumn="0" w:lastRowLastColumn="0"/>
            <w:tcW w:w="1384" w:type="dxa"/>
            <w:noWrap/>
            <w:hideMark/>
          </w:tcPr>
          <w:p w:rsidR="00982564" w:rsidRPr="00982564" w:rsidRDefault="00982564" w:rsidP="00D86F84">
            <w:pPr>
              <w:jc w:val="center"/>
              <w:rPr>
                <w:rFonts w:eastAsiaTheme="majorEastAsia"/>
                <w:b w:val="0"/>
                <w:color w:val="auto"/>
              </w:rPr>
            </w:pPr>
            <w:r w:rsidRPr="00982564">
              <w:rPr>
                <w:rFonts w:eastAsiaTheme="majorEastAsia"/>
                <w:b w:val="0"/>
                <w:color w:val="auto"/>
              </w:rPr>
              <w:t>Butadiene</w:t>
            </w:r>
          </w:p>
        </w:tc>
        <w:tc>
          <w:tcPr>
            <w:tcW w:w="1478"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0.6</w:t>
            </w:r>
          </w:p>
        </w:tc>
        <w:tc>
          <w:tcPr>
            <w:tcW w:w="1190"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1.0</w:t>
            </w:r>
          </w:p>
        </w:tc>
        <w:tc>
          <w:tcPr>
            <w:tcW w:w="1076"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p>
        </w:tc>
        <w:tc>
          <w:tcPr>
            <w:tcW w:w="1190"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p>
        </w:tc>
        <w:tc>
          <w:tcPr>
            <w:tcW w:w="1190"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p>
        </w:tc>
        <w:tc>
          <w:tcPr>
            <w:tcW w:w="1021"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p>
        </w:tc>
      </w:tr>
      <w:tr w:rsidR="00982564" w:rsidRPr="00982564" w:rsidTr="00D86F8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4" w:type="dxa"/>
            <w:noWrap/>
            <w:hideMark/>
          </w:tcPr>
          <w:p w:rsidR="00982564" w:rsidRPr="00982564" w:rsidRDefault="00982564" w:rsidP="00D86F84">
            <w:pPr>
              <w:jc w:val="center"/>
              <w:rPr>
                <w:rFonts w:eastAsiaTheme="majorEastAsia"/>
                <w:b w:val="0"/>
                <w:color w:val="auto"/>
              </w:rPr>
            </w:pPr>
            <w:r w:rsidRPr="00982564">
              <w:rPr>
                <w:rFonts w:eastAsiaTheme="majorEastAsia"/>
                <w:b w:val="0"/>
                <w:color w:val="auto"/>
              </w:rPr>
              <w:t>Naphtha</w:t>
            </w:r>
          </w:p>
        </w:tc>
        <w:tc>
          <w:tcPr>
            <w:tcW w:w="1478"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0.8</w:t>
            </w:r>
          </w:p>
        </w:tc>
        <w:tc>
          <w:tcPr>
            <w:tcW w:w="1190"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0.5</w:t>
            </w:r>
          </w:p>
        </w:tc>
        <w:tc>
          <w:tcPr>
            <w:tcW w:w="1076"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1.0</w:t>
            </w:r>
          </w:p>
        </w:tc>
        <w:tc>
          <w:tcPr>
            <w:tcW w:w="1190"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p>
        </w:tc>
        <w:tc>
          <w:tcPr>
            <w:tcW w:w="1190"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p>
        </w:tc>
        <w:tc>
          <w:tcPr>
            <w:tcW w:w="1021"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p>
        </w:tc>
      </w:tr>
      <w:tr w:rsidR="00982564" w:rsidRPr="00982564" w:rsidTr="00D86F84">
        <w:trPr>
          <w:trHeight w:val="300"/>
        </w:trPr>
        <w:tc>
          <w:tcPr>
            <w:cnfStyle w:val="001000000000" w:firstRow="0" w:lastRow="0" w:firstColumn="1" w:lastColumn="0" w:oddVBand="0" w:evenVBand="0" w:oddHBand="0" w:evenHBand="0" w:firstRowFirstColumn="0" w:firstRowLastColumn="0" w:lastRowFirstColumn="0" w:lastRowLastColumn="0"/>
            <w:tcW w:w="1384" w:type="dxa"/>
            <w:noWrap/>
            <w:hideMark/>
          </w:tcPr>
          <w:p w:rsidR="00982564" w:rsidRPr="00982564" w:rsidRDefault="00982564" w:rsidP="00D86F84">
            <w:pPr>
              <w:jc w:val="center"/>
              <w:rPr>
                <w:rFonts w:eastAsiaTheme="majorEastAsia"/>
                <w:b w:val="0"/>
                <w:color w:val="auto"/>
              </w:rPr>
            </w:pPr>
            <w:r w:rsidRPr="00982564">
              <w:rPr>
                <w:rFonts w:eastAsiaTheme="majorEastAsia"/>
                <w:b w:val="0"/>
                <w:color w:val="auto"/>
              </w:rPr>
              <w:t>Propylene</w:t>
            </w:r>
          </w:p>
        </w:tc>
        <w:tc>
          <w:tcPr>
            <w:tcW w:w="1478"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0.8</w:t>
            </w:r>
          </w:p>
        </w:tc>
        <w:tc>
          <w:tcPr>
            <w:tcW w:w="1190"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0.7</w:t>
            </w:r>
          </w:p>
        </w:tc>
        <w:tc>
          <w:tcPr>
            <w:tcW w:w="1076"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0.6</w:t>
            </w:r>
          </w:p>
        </w:tc>
        <w:tc>
          <w:tcPr>
            <w:tcW w:w="1190"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1.0</w:t>
            </w:r>
          </w:p>
        </w:tc>
        <w:tc>
          <w:tcPr>
            <w:tcW w:w="1190"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p>
        </w:tc>
        <w:tc>
          <w:tcPr>
            <w:tcW w:w="1021"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p>
        </w:tc>
      </w:tr>
      <w:tr w:rsidR="00982564" w:rsidRPr="00982564" w:rsidTr="00D86F8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84" w:type="dxa"/>
            <w:noWrap/>
            <w:hideMark/>
          </w:tcPr>
          <w:p w:rsidR="00982564" w:rsidRPr="00982564" w:rsidRDefault="00982564" w:rsidP="00D86F84">
            <w:pPr>
              <w:jc w:val="center"/>
              <w:rPr>
                <w:rFonts w:eastAsiaTheme="majorEastAsia"/>
                <w:b w:val="0"/>
                <w:color w:val="auto"/>
              </w:rPr>
            </w:pPr>
            <w:r w:rsidRPr="00982564">
              <w:rPr>
                <w:rFonts w:eastAsiaTheme="majorEastAsia"/>
                <w:b w:val="0"/>
                <w:color w:val="auto"/>
              </w:rPr>
              <w:t>Benzene</w:t>
            </w:r>
          </w:p>
        </w:tc>
        <w:tc>
          <w:tcPr>
            <w:tcW w:w="1478"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0.9</w:t>
            </w:r>
          </w:p>
        </w:tc>
        <w:tc>
          <w:tcPr>
            <w:tcW w:w="1190"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0.5</w:t>
            </w:r>
          </w:p>
        </w:tc>
        <w:tc>
          <w:tcPr>
            <w:tcW w:w="1076"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0.9</w:t>
            </w:r>
          </w:p>
        </w:tc>
        <w:tc>
          <w:tcPr>
            <w:tcW w:w="1190"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0.7</w:t>
            </w:r>
          </w:p>
        </w:tc>
        <w:tc>
          <w:tcPr>
            <w:tcW w:w="1190"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1.0</w:t>
            </w:r>
          </w:p>
        </w:tc>
        <w:tc>
          <w:tcPr>
            <w:tcW w:w="1021"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p>
        </w:tc>
      </w:tr>
      <w:tr w:rsidR="00982564" w:rsidRPr="00982564" w:rsidTr="00D86F84">
        <w:trPr>
          <w:trHeight w:val="315"/>
        </w:trPr>
        <w:tc>
          <w:tcPr>
            <w:cnfStyle w:val="001000000000" w:firstRow="0" w:lastRow="0" w:firstColumn="1" w:lastColumn="0" w:oddVBand="0" w:evenVBand="0" w:oddHBand="0" w:evenHBand="0" w:firstRowFirstColumn="0" w:firstRowLastColumn="0" w:lastRowFirstColumn="0" w:lastRowLastColumn="0"/>
            <w:tcW w:w="1384" w:type="dxa"/>
            <w:noWrap/>
            <w:hideMark/>
          </w:tcPr>
          <w:p w:rsidR="00982564" w:rsidRPr="00982564" w:rsidRDefault="00982564" w:rsidP="00D86F84">
            <w:pPr>
              <w:jc w:val="center"/>
              <w:rPr>
                <w:rFonts w:eastAsiaTheme="majorEastAsia"/>
                <w:b w:val="0"/>
                <w:color w:val="auto"/>
              </w:rPr>
            </w:pPr>
            <w:r w:rsidRPr="00982564">
              <w:rPr>
                <w:rFonts w:eastAsiaTheme="majorEastAsia"/>
                <w:b w:val="0"/>
                <w:color w:val="auto"/>
              </w:rPr>
              <w:t>Ethanol</w:t>
            </w:r>
          </w:p>
        </w:tc>
        <w:tc>
          <w:tcPr>
            <w:tcW w:w="1478"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0.3</w:t>
            </w:r>
          </w:p>
        </w:tc>
        <w:tc>
          <w:tcPr>
            <w:tcW w:w="1190"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0.2</w:t>
            </w:r>
          </w:p>
        </w:tc>
        <w:tc>
          <w:tcPr>
            <w:tcW w:w="1076"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0.3</w:t>
            </w:r>
          </w:p>
        </w:tc>
        <w:tc>
          <w:tcPr>
            <w:tcW w:w="1190"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0.4</w:t>
            </w:r>
          </w:p>
        </w:tc>
        <w:tc>
          <w:tcPr>
            <w:tcW w:w="1190"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0.2</w:t>
            </w:r>
          </w:p>
        </w:tc>
        <w:tc>
          <w:tcPr>
            <w:tcW w:w="1021"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1.0</w:t>
            </w:r>
          </w:p>
        </w:tc>
      </w:tr>
    </w:tbl>
    <w:p w:rsidR="00982564" w:rsidRPr="00982564" w:rsidRDefault="00982564" w:rsidP="00982564">
      <w:pPr>
        <w:pStyle w:val="Heading2"/>
        <w:rPr>
          <w:color w:val="auto"/>
        </w:rPr>
      </w:pPr>
      <w:r w:rsidRPr="00982564">
        <w:rPr>
          <w:color w:val="auto"/>
        </w:rPr>
        <w:t>System boundary discussion</w:t>
      </w:r>
    </w:p>
    <w:p w:rsidR="00982564" w:rsidRPr="00982564" w:rsidRDefault="00982564" w:rsidP="00982564"/>
    <w:p w:rsidR="00982564" w:rsidRPr="00982564" w:rsidRDefault="00982564" w:rsidP="00982564">
      <w:pPr>
        <w:jc w:val="both"/>
      </w:pPr>
      <w:r w:rsidRPr="00982564">
        <w:t xml:space="preserve">Table S6 shows the raw scores for the glucose-based process case, which lead to figure 14 in the article. Table 4 in the article shows the raw scores for the ethanol-based process; these raw scores form the basis for index ratios presented in figure 9 in the article. In both these cases (figure 14 and figure 9) the system boundary for the naphtha-based process is the same and thus parameter scores for naphtha-based process are identical.  A comparison of these two cases with different system boundaries for the </w:t>
      </w:r>
      <w:proofErr w:type="spellStart"/>
      <w:r w:rsidRPr="00982564">
        <w:t>biobased</w:t>
      </w:r>
      <w:proofErr w:type="spellEnd"/>
      <w:r w:rsidRPr="00982564">
        <w:t xml:space="preserve"> process illustrates the interdependence and interaction between the different parameters which have been considered in the assessment model.</w:t>
      </w:r>
    </w:p>
    <w:p w:rsidR="00982564" w:rsidRPr="00982564" w:rsidRDefault="00982564" w:rsidP="00982564"/>
    <w:p w:rsidR="00982564" w:rsidRPr="00982564" w:rsidRDefault="00982564" w:rsidP="00982564">
      <w:pPr>
        <w:pStyle w:val="Caption"/>
        <w:keepNext/>
      </w:pPr>
      <w:r w:rsidRPr="00982564">
        <w:t>Table S6: Glucose- and naphtha-based but-1</w:t>
      </w:r>
      <w:proofErr w:type="gramStart"/>
      <w:r w:rsidRPr="00982564">
        <w:t>,3</w:t>
      </w:r>
      <w:proofErr w:type="gramEnd"/>
      <w:r w:rsidRPr="00982564">
        <w:t>-diene process scores for each parameter</w:t>
      </w:r>
    </w:p>
    <w:tbl>
      <w:tblPr>
        <w:tblStyle w:val="LightShading1"/>
        <w:tblW w:w="0" w:type="auto"/>
        <w:tblLook w:val="04A0" w:firstRow="1" w:lastRow="0" w:firstColumn="1" w:lastColumn="0" w:noHBand="0" w:noVBand="1"/>
      </w:tblPr>
      <w:tblGrid>
        <w:gridCol w:w="5353"/>
        <w:gridCol w:w="1276"/>
        <w:gridCol w:w="1276"/>
      </w:tblGrid>
      <w:tr w:rsidR="00982564" w:rsidRPr="00982564" w:rsidTr="00D86F84">
        <w:trPr>
          <w:cnfStyle w:val="100000000000" w:firstRow="1" w:lastRow="0" w:firstColumn="0" w:lastColumn="0" w:oddVBand="0" w:evenVBand="0" w:oddHBand="0"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5353" w:type="dxa"/>
            <w:noWrap/>
            <w:hideMark/>
          </w:tcPr>
          <w:p w:rsidR="00982564" w:rsidRPr="00982564" w:rsidRDefault="00982564" w:rsidP="00D86F84">
            <w:pPr>
              <w:rPr>
                <w:b w:val="0"/>
                <w:color w:val="auto"/>
              </w:rPr>
            </w:pPr>
            <w:r w:rsidRPr="00982564">
              <w:rPr>
                <w:color w:val="auto"/>
              </w:rPr>
              <w:t>Parameters</w:t>
            </w:r>
            <w:r w:rsidRPr="00982564">
              <w:rPr>
                <w:color w:val="auto"/>
                <w:vertAlign w:val="superscript"/>
              </w:rPr>
              <w:t>+</w:t>
            </w:r>
          </w:p>
        </w:tc>
        <w:tc>
          <w:tcPr>
            <w:tcW w:w="1276" w:type="dxa"/>
            <w:noWrap/>
            <w:hideMark/>
          </w:tcPr>
          <w:p w:rsidR="00982564" w:rsidRPr="00982564" w:rsidRDefault="00982564" w:rsidP="00D86F84">
            <w:pPr>
              <w:cnfStyle w:val="100000000000" w:firstRow="1" w:lastRow="0" w:firstColumn="0" w:lastColumn="0" w:oddVBand="0" w:evenVBand="0" w:oddHBand="0" w:evenHBand="0" w:firstRowFirstColumn="0" w:firstRowLastColumn="0" w:lastRowFirstColumn="0" w:lastRowLastColumn="0"/>
              <w:rPr>
                <w:b w:val="0"/>
                <w:color w:val="auto"/>
              </w:rPr>
            </w:pPr>
            <w:r w:rsidRPr="00982564">
              <w:rPr>
                <w:color w:val="auto"/>
              </w:rPr>
              <w:t>Glucose- based</w:t>
            </w:r>
          </w:p>
        </w:tc>
        <w:tc>
          <w:tcPr>
            <w:tcW w:w="1276" w:type="dxa"/>
            <w:hideMark/>
          </w:tcPr>
          <w:p w:rsidR="00982564" w:rsidRPr="00982564" w:rsidRDefault="00982564" w:rsidP="00D86F84">
            <w:pPr>
              <w:cnfStyle w:val="100000000000" w:firstRow="1" w:lastRow="0" w:firstColumn="0" w:lastColumn="0" w:oddVBand="0" w:evenVBand="0" w:oddHBand="0" w:evenHBand="0" w:firstRowFirstColumn="0" w:firstRowLastColumn="0" w:lastRowFirstColumn="0" w:lastRowLastColumn="0"/>
              <w:rPr>
                <w:b w:val="0"/>
                <w:color w:val="auto"/>
              </w:rPr>
            </w:pPr>
            <w:r w:rsidRPr="00982564">
              <w:rPr>
                <w:color w:val="auto"/>
              </w:rPr>
              <w:t>Naphtha- based</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353" w:type="dxa"/>
            <w:noWrap/>
            <w:hideMark/>
          </w:tcPr>
          <w:p w:rsidR="00982564" w:rsidRPr="00982564" w:rsidRDefault="00982564" w:rsidP="00D86F84">
            <w:pPr>
              <w:rPr>
                <w:color w:val="auto"/>
              </w:rPr>
            </w:pPr>
            <w:r w:rsidRPr="00982564">
              <w:rPr>
                <w:color w:val="auto"/>
              </w:rPr>
              <w:t>Economic constraint (index)</w:t>
            </w:r>
          </w:p>
        </w:tc>
        <w:tc>
          <w:tcPr>
            <w:tcW w:w="1276"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0.88</w:t>
            </w:r>
          </w:p>
        </w:tc>
        <w:tc>
          <w:tcPr>
            <w:tcW w:w="1276"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0.83</w:t>
            </w:r>
          </w:p>
        </w:tc>
      </w:tr>
      <w:tr w:rsidR="00982564" w:rsidRPr="00982564" w:rsidTr="00D86F84">
        <w:trPr>
          <w:trHeight w:val="330"/>
        </w:trPr>
        <w:tc>
          <w:tcPr>
            <w:cnfStyle w:val="001000000000" w:firstRow="0" w:lastRow="0" w:firstColumn="1" w:lastColumn="0" w:oddVBand="0" w:evenVBand="0" w:oddHBand="0" w:evenHBand="0" w:firstRowFirstColumn="0" w:firstRowLastColumn="0" w:lastRowFirstColumn="0" w:lastRowLastColumn="0"/>
            <w:tcW w:w="5353" w:type="dxa"/>
            <w:noWrap/>
            <w:hideMark/>
          </w:tcPr>
          <w:p w:rsidR="00982564" w:rsidRPr="00982564" w:rsidRDefault="00982564" w:rsidP="00D86F84">
            <w:pPr>
              <w:rPr>
                <w:color w:val="auto"/>
              </w:rPr>
            </w:pPr>
            <w:r w:rsidRPr="00982564">
              <w:rPr>
                <w:color w:val="auto"/>
              </w:rPr>
              <w:t>Environmental impact of raw materials (normalized index)</w:t>
            </w:r>
            <w:r w:rsidRPr="00982564">
              <w:rPr>
                <w:color w:val="auto"/>
                <w:vertAlign w:val="superscript"/>
              </w:rPr>
              <w:t>#</w:t>
            </w:r>
          </w:p>
        </w:tc>
        <w:tc>
          <w:tcPr>
            <w:tcW w:w="1276"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0.64</w:t>
            </w:r>
          </w:p>
        </w:tc>
        <w:tc>
          <w:tcPr>
            <w:tcW w:w="1276"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0.93</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353" w:type="dxa"/>
            <w:noWrap/>
            <w:hideMark/>
          </w:tcPr>
          <w:p w:rsidR="00982564" w:rsidRPr="00982564" w:rsidRDefault="00982564" w:rsidP="00D86F84">
            <w:pPr>
              <w:rPr>
                <w:color w:val="auto"/>
              </w:rPr>
            </w:pPr>
            <w:r w:rsidRPr="00982564">
              <w:rPr>
                <w:color w:val="auto"/>
              </w:rPr>
              <w:t>Process cost and environmental impact (index)</w:t>
            </w:r>
          </w:p>
        </w:tc>
        <w:tc>
          <w:tcPr>
            <w:tcW w:w="1276"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4.05</w:t>
            </w:r>
          </w:p>
        </w:tc>
        <w:tc>
          <w:tcPr>
            <w:tcW w:w="1276"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3.60</w:t>
            </w:r>
          </w:p>
        </w:tc>
      </w:tr>
      <w:tr w:rsidR="00982564" w:rsidRPr="00982564" w:rsidTr="00D86F84">
        <w:trPr>
          <w:trHeight w:val="330"/>
        </w:trPr>
        <w:tc>
          <w:tcPr>
            <w:cnfStyle w:val="001000000000" w:firstRow="0" w:lastRow="0" w:firstColumn="1" w:lastColumn="0" w:oddVBand="0" w:evenVBand="0" w:oddHBand="0" w:evenHBand="0" w:firstRowFirstColumn="0" w:firstRowLastColumn="0" w:lastRowFirstColumn="0" w:lastRowLastColumn="0"/>
            <w:tcW w:w="5353" w:type="dxa"/>
            <w:noWrap/>
            <w:hideMark/>
          </w:tcPr>
          <w:p w:rsidR="00982564" w:rsidRPr="00982564" w:rsidRDefault="00982564" w:rsidP="00D86F84">
            <w:pPr>
              <w:rPr>
                <w:color w:val="auto"/>
              </w:rPr>
            </w:pPr>
            <w:r w:rsidRPr="00982564">
              <w:rPr>
                <w:color w:val="auto"/>
              </w:rPr>
              <w:t>EHS hazard potential (index)</w:t>
            </w:r>
          </w:p>
        </w:tc>
        <w:tc>
          <w:tcPr>
            <w:tcW w:w="1276"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1.38</w:t>
            </w:r>
          </w:p>
        </w:tc>
        <w:tc>
          <w:tcPr>
            <w:tcW w:w="1276" w:type="dxa"/>
            <w:noWrap/>
            <w:hideMark/>
          </w:tcPr>
          <w:p w:rsidR="00982564" w:rsidRPr="00982564" w:rsidRDefault="00982564" w:rsidP="00D86F84">
            <w:pPr>
              <w:jc w:val="center"/>
              <w:cnfStyle w:val="000000000000" w:firstRow="0" w:lastRow="0" w:firstColumn="0" w:lastColumn="0" w:oddVBand="0" w:evenVBand="0" w:oddHBand="0" w:evenHBand="0" w:firstRowFirstColumn="0" w:firstRowLastColumn="0" w:lastRowFirstColumn="0" w:lastRowLastColumn="0"/>
              <w:rPr>
                <w:color w:val="auto"/>
              </w:rPr>
            </w:pPr>
            <w:r w:rsidRPr="00982564">
              <w:rPr>
                <w:color w:val="auto"/>
              </w:rPr>
              <w:t>2.67</w:t>
            </w:r>
          </w:p>
        </w:tc>
      </w:tr>
      <w:tr w:rsidR="00982564" w:rsidRPr="00982564" w:rsidTr="00D86F84">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353" w:type="dxa"/>
            <w:noWrap/>
            <w:hideMark/>
          </w:tcPr>
          <w:p w:rsidR="00982564" w:rsidRPr="00982564" w:rsidRDefault="00982564" w:rsidP="00D86F84">
            <w:pPr>
              <w:rPr>
                <w:color w:val="auto"/>
              </w:rPr>
            </w:pPr>
            <w:r w:rsidRPr="00982564">
              <w:rPr>
                <w:color w:val="auto"/>
              </w:rPr>
              <w:t>Risk aspects (index)</w:t>
            </w:r>
          </w:p>
        </w:tc>
        <w:tc>
          <w:tcPr>
            <w:tcW w:w="1276"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0.14</w:t>
            </w:r>
          </w:p>
        </w:tc>
        <w:tc>
          <w:tcPr>
            <w:tcW w:w="1276" w:type="dxa"/>
            <w:noWrap/>
            <w:hideMark/>
          </w:tcPr>
          <w:p w:rsidR="00982564" w:rsidRPr="00982564" w:rsidRDefault="00982564" w:rsidP="00D86F84">
            <w:pPr>
              <w:jc w:val="center"/>
              <w:cnfStyle w:val="000000100000" w:firstRow="0" w:lastRow="0" w:firstColumn="0" w:lastColumn="0" w:oddVBand="0" w:evenVBand="0" w:oddHBand="1" w:evenHBand="0" w:firstRowFirstColumn="0" w:firstRowLastColumn="0" w:lastRowFirstColumn="0" w:lastRowLastColumn="0"/>
              <w:rPr>
                <w:color w:val="auto"/>
              </w:rPr>
            </w:pPr>
            <w:r w:rsidRPr="00982564">
              <w:rPr>
                <w:color w:val="auto"/>
              </w:rPr>
              <w:t>0.15</w:t>
            </w:r>
          </w:p>
        </w:tc>
      </w:tr>
    </w:tbl>
    <w:p w:rsidR="00982564" w:rsidRPr="00982564" w:rsidRDefault="00982564" w:rsidP="00982564">
      <w:pPr>
        <w:rPr>
          <w:sz w:val="16"/>
          <w:szCs w:val="16"/>
        </w:rPr>
      </w:pPr>
      <w:r w:rsidRPr="00982564">
        <w:rPr>
          <w:sz w:val="16"/>
          <w:szCs w:val="16"/>
        </w:rPr>
        <w:t>+ Lower values are better for the respective processes.</w:t>
      </w:r>
    </w:p>
    <w:p w:rsidR="00982564" w:rsidRPr="00982564" w:rsidRDefault="00982564" w:rsidP="00982564">
      <w:pPr>
        <w:rPr>
          <w:sz w:val="16"/>
          <w:szCs w:val="16"/>
        </w:rPr>
      </w:pPr>
      <w:r w:rsidRPr="00982564">
        <w:rPr>
          <w:sz w:val="16"/>
          <w:szCs w:val="16"/>
        </w:rPr>
        <w:t># Cumulative energy demand (MJ/kg but-1</w:t>
      </w:r>
      <w:proofErr w:type="gramStart"/>
      <w:r w:rsidRPr="00982564">
        <w:rPr>
          <w:sz w:val="16"/>
          <w:szCs w:val="16"/>
        </w:rPr>
        <w:t>,3</w:t>
      </w:r>
      <w:proofErr w:type="gramEnd"/>
      <w:r w:rsidRPr="00982564">
        <w:rPr>
          <w:sz w:val="16"/>
          <w:szCs w:val="16"/>
        </w:rPr>
        <w:t>-diene): 70.43 (glucose); 61.17 (naphtha).</w:t>
      </w:r>
    </w:p>
    <w:p w:rsidR="00982564" w:rsidRPr="00982564" w:rsidRDefault="00982564" w:rsidP="00982564">
      <w:pPr>
        <w:rPr>
          <w:sz w:val="16"/>
          <w:szCs w:val="16"/>
        </w:rPr>
      </w:pPr>
      <w:r w:rsidRPr="00982564">
        <w:rPr>
          <w:sz w:val="16"/>
          <w:szCs w:val="16"/>
        </w:rPr>
        <w:t># GHG emissions (kg CO</w:t>
      </w:r>
      <w:r w:rsidRPr="00982564">
        <w:rPr>
          <w:sz w:val="16"/>
          <w:szCs w:val="16"/>
          <w:vertAlign w:val="subscript"/>
        </w:rPr>
        <w:t>2</w:t>
      </w:r>
      <w:r w:rsidRPr="00982564">
        <w:rPr>
          <w:sz w:val="16"/>
          <w:szCs w:val="16"/>
        </w:rPr>
        <w:t xml:space="preserve"> eq</w:t>
      </w:r>
      <w:proofErr w:type="gramStart"/>
      <w:r w:rsidRPr="00982564">
        <w:rPr>
          <w:sz w:val="16"/>
          <w:szCs w:val="16"/>
        </w:rPr>
        <w:t>./</w:t>
      </w:r>
      <w:proofErr w:type="gramEnd"/>
      <w:r w:rsidRPr="00982564">
        <w:rPr>
          <w:sz w:val="16"/>
          <w:szCs w:val="16"/>
        </w:rPr>
        <w:t xml:space="preserve"> kg but-1,3-diene): 1.10 (glucose); 3.98 (naphtha).</w:t>
      </w:r>
    </w:p>
    <w:p w:rsidR="00982564" w:rsidRPr="00982564" w:rsidRDefault="00982564" w:rsidP="00982564"/>
    <w:p w:rsidR="00982564" w:rsidRPr="00982564" w:rsidRDefault="00982564" w:rsidP="00982564"/>
    <w:p w:rsidR="00982564" w:rsidRPr="00982564" w:rsidRDefault="00982564" w:rsidP="00982564">
      <w:pPr>
        <w:ind w:firstLine="720"/>
        <w:jc w:val="both"/>
      </w:pPr>
      <w:r w:rsidRPr="00982564">
        <w:t>The economic constraint of glucose-based process is lower as compared to the ethanol-based process because glucose as a raw material is located earlier in the value chain as compared to ethanol. Nevertheless, the end product is same (but-1</w:t>
      </w:r>
      <w:proofErr w:type="gramStart"/>
      <w:r w:rsidRPr="00982564">
        <w:t>,3</w:t>
      </w:r>
      <w:proofErr w:type="gramEnd"/>
      <w:r w:rsidRPr="00982564">
        <w:t xml:space="preserve">-diene) in both the cases. Hence, this difference in economic constraint is reflected in the PCEI and EHSI parameters which respectively are a proxy for the process costs and represent process hazards. The PCEI value for the glucose-based process is relatively higher as compared to that for the ethanol-based process, since it accounts for the extra processing requirements. Thus, by itself the economic constraint does not give a good idea about the process economics. However, in combination with the PCEI it can give an indication, albeit preliminary, of the process economics. </w:t>
      </w:r>
    </w:p>
    <w:p w:rsidR="00982564" w:rsidRPr="00982564" w:rsidRDefault="00982564" w:rsidP="00982564">
      <w:pPr>
        <w:ind w:firstLine="720"/>
        <w:jc w:val="both"/>
      </w:pPr>
      <w:r w:rsidRPr="00982564">
        <w:lastRenderedPageBreak/>
        <w:t xml:space="preserve">In the case of EHSI, as expected, the score before allocation is higher for the glucose-based process (2.50) as compared to that for the bioethanol-based process (2.05). However, the extended system yields more co-products (2-hydroxypropanoic acid, </w:t>
      </w:r>
      <w:proofErr w:type="spellStart"/>
      <w:r w:rsidRPr="00982564">
        <w:t>butanedioic</w:t>
      </w:r>
      <w:proofErr w:type="spellEnd"/>
      <w:r w:rsidRPr="00982564">
        <w:t xml:space="preserve"> acid). Hence, the allocated hazards indicated in table S4 are lower. However, the additional co-products also result in an increase in the PCEI parameter which compensates for the lower allocated EHSI score. </w:t>
      </w:r>
    </w:p>
    <w:p w:rsidR="00982564" w:rsidRPr="00982564" w:rsidRDefault="00982564" w:rsidP="00982564">
      <w:pPr>
        <w:ind w:firstLine="720"/>
        <w:jc w:val="both"/>
      </w:pPr>
      <w:r w:rsidRPr="00982564">
        <w:t xml:space="preserve">The glucose-based process shows a lower environmental impact of raw material as compared to the ethanol-based process. However, </w:t>
      </w:r>
      <w:proofErr w:type="gramStart"/>
      <w:r w:rsidRPr="00982564">
        <w:t>this results</w:t>
      </w:r>
      <w:proofErr w:type="gramEnd"/>
      <w:r w:rsidRPr="00982564">
        <w:t xml:space="preserve"> in a comparatively higher PCEI parameter which acts as a proxy for the environmental impacts associated with the process. These aspects explain the significantly higher PCEI score for the glucose-based process as compared to the ethanol-based process. Thus the interaction between the system boundary and different parameters plays an important role in the outcome of this assessment. </w:t>
      </w:r>
    </w:p>
    <w:p w:rsidR="00982564" w:rsidRPr="00982564" w:rsidRDefault="00982564" w:rsidP="00982564"/>
    <w:p w:rsidR="00982564" w:rsidRPr="00982564" w:rsidRDefault="00982564" w:rsidP="00982564">
      <w:pPr>
        <w:pStyle w:val="Heading1"/>
        <w:rPr>
          <w:color w:val="auto"/>
        </w:rPr>
      </w:pPr>
      <w:bookmarkStart w:id="2" w:name="_GoBack"/>
      <w:bookmarkEnd w:id="2"/>
      <w:r w:rsidRPr="00982564">
        <w:rPr>
          <w:color w:val="auto"/>
        </w:rPr>
        <w:t>Acknowledgements</w:t>
      </w:r>
    </w:p>
    <w:p w:rsidR="00982564" w:rsidRPr="00982564" w:rsidRDefault="00982564" w:rsidP="00982564">
      <w:r w:rsidRPr="00982564">
        <w:t xml:space="preserve">This research was supported through the </w:t>
      </w:r>
      <w:proofErr w:type="spellStart"/>
      <w:r w:rsidRPr="00982564">
        <w:t>CatchBio</w:t>
      </w:r>
      <w:proofErr w:type="spellEnd"/>
      <w:r w:rsidRPr="00982564">
        <w:t xml:space="preserve"> project by the </w:t>
      </w:r>
      <w:proofErr w:type="spellStart"/>
      <w:r w:rsidRPr="00982564">
        <w:t>SmartMix</w:t>
      </w:r>
      <w:proofErr w:type="spellEnd"/>
      <w:r w:rsidRPr="00982564">
        <w:t xml:space="preserve"> program of the Dutch government.</w:t>
      </w:r>
    </w:p>
    <w:p w:rsidR="000D54CA" w:rsidRPr="00982564" w:rsidRDefault="000D54CA"/>
    <w:sectPr w:rsidR="000D54CA" w:rsidRPr="009825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564" w:rsidRDefault="00982564" w:rsidP="00982564">
      <w:r>
        <w:separator/>
      </w:r>
    </w:p>
  </w:endnote>
  <w:endnote w:type="continuationSeparator" w:id="0">
    <w:p w:rsidR="00982564" w:rsidRDefault="00982564" w:rsidP="00982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564" w:rsidRDefault="00982564" w:rsidP="00982564">
      <w:r>
        <w:separator/>
      </w:r>
    </w:p>
  </w:footnote>
  <w:footnote w:type="continuationSeparator" w:id="0">
    <w:p w:rsidR="00982564" w:rsidRDefault="00982564" w:rsidP="00982564">
      <w:r>
        <w:continuationSeparator/>
      </w:r>
    </w:p>
  </w:footnote>
  <w:footnote w:id="1">
    <w:p w:rsidR="00982564" w:rsidRPr="001B27D3" w:rsidRDefault="00982564" w:rsidP="00982564">
      <w:pPr>
        <w:pStyle w:val="FootnoteText"/>
        <w:rPr>
          <w:lang w:val="en-US"/>
        </w:rPr>
      </w:pPr>
      <w:r>
        <w:rPr>
          <w:rStyle w:val="FootnoteReference"/>
        </w:rPr>
        <w:footnoteRef/>
      </w:r>
      <w:r>
        <w:t xml:space="preserve"> </w:t>
      </w:r>
      <w:r w:rsidRPr="001B27D3">
        <w:rPr>
          <w:lang w:val="en-US"/>
        </w:rPr>
        <w:t xml:space="preserve">T. Ren, M. Patel and K. Blok, </w:t>
      </w:r>
      <w:r w:rsidRPr="001B27D3">
        <w:rPr>
          <w:i/>
          <w:iCs/>
          <w:lang w:val="en-US"/>
        </w:rPr>
        <w:t xml:space="preserve">Energy, </w:t>
      </w:r>
      <w:r w:rsidRPr="001B27D3">
        <w:rPr>
          <w:lang w:val="en-US"/>
        </w:rPr>
        <w:t xml:space="preserve">2006, </w:t>
      </w:r>
      <w:r w:rsidRPr="001B27D3">
        <w:rPr>
          <w:bCs/>
          <w:lang w:val="en-US"/>
        </w:rPr>
        <w:t>31</w:t>
      </w:r>
      <w:r w:rsidRPr="001B27D3">
        <w:rPr>
          <w:lang w:val="en-US"/>
        </w:rPr>
        <w:t>, 425-451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C93"/>
    <w:rsid w:val="000D54CA"/>
    <w:rsid w:val="00730C93"/>
    <w:rsid w:val="00982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5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8256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98256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256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82564"/>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nhideWhenUsed/>
    <w:qFormat/>
    <w:rsid w:val="00982564"/>
    <w:pPr>
      <w:spacing w:after="200"/>
    </w:pPr>
    <w:rPr>
      <w:b/>
      <w:bCs/>
      <w:sz w:val="22"/>
      <w:szCs w:val="18"/>
    </w:rPr>
  </w:style>
  <w:style w:type="paragraph" w:styleId="FootnoteText">
    <w:name w:val="footnote text"/>
    <w:basedOn w:val="Normal"/>
    <w:link w:val="FootnoteTextChar"/>
    <w:uiPriority w:val="99"/>
    <w:rsid w:val="00982564"/>
    <w:rPr>
      <w:sz w:val="20"/>
      <w:szCs w:val="20"/>
      <w:lang w:val="nl-NL" w:eastAsia="nl-NL"/>
    </w:rPr>
  </w:style>
  <w:style w:type="character" w:customStyle="1" w:styleId="FootnoteTextChar">
    <w:name w:val="Footnote Text Char"/>
    <w:basedOn w:val="DefaultParagraphFont"/>
    <w:link w:val="FootnoteText"/>
    <w:uiPriority w:val="99"/>
    <w:rsid w:val="00982564"/>
    <w:rPr>
      <w:rFonts w:ascii="Times New Roman" w:eastAsia="Times New Roman" w:hAnsi="Times New Roman" w:cs="Times New Roman"/>
      <w:sz w:val="20"/>
      <w:szCs w:val="20"/>
      <w:lang w:val="nl-NL" w:eastAsia="nl-NL"/>
    </w:rPr>
  </w:style>
  <w:style w:type="character" w:styleId="FootnoteReference">
    <w:name w:val="footnote reference"/>
    <w:basedOn w:val="DefaultParagraphFont"/>
    <w:uiPriority w:val="99"/>
    <w:rsid w:val="00982564"/>
    <w:rPr>
      <w:rFonts w:cs="Times New Roman"/>
      <w:vertAlign w:val="superscript"/>
    </w:rPr>
  </w:style>
  <w:style w:type="table" w:customStyle="1" w:styleId="LightShading1">
    <w:name w:val="Light Shading1"/>
    <w:basedOn w:val="TableNormal"/>
    <w:uiPriority w:val="60"/>
    <w:rsid w:val="00982564"/>
    <w:pPr>
      <w:spacing w:after="0" w:line="240" w:lineRule="auto"/>
    </w:pPr>
    <w:rPr>
      <w:rFonts w:ascii="Times New Roman" w:eastAsia="Times New Roman" w:hAnsi="Times New Roman" w:cs="Times New Roman"/>
      <w:color w:val="000000" w:themeColor="text1" w:themeShade="BF"/>
      <w:sz w:val="20"/>
      <w:szCs w:val="20"/>
      <w:lang w:val="nl-NL" w:eastAsia="nl-NL"/>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982564"/>
    <w:rPr>
      <w:rFonts w:ascii="Tahoma" w:hAnsi="Tahoma" w:cs="Tahoma"/>
      <w:sz w:val="16"/>
      <w:szCs w:val="16"/>
    </w:rPr>
  </w:style>
  <w:style w:type="character" w:customStyle="1" w:styleId="BalloonTextChar">
    <w:name w:val="Balloon Text Char"/>
    <w:basedOn w:val="DefaultParagraphFont"/>
    <w:link w:val="BalloonText"/>
    <w:uiPriority w:val="99"/>
    <w:semiHidden/>
    <w:rsid w:val="0098256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5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8256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98256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8256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82564"/>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nhideWhenUsed/>
    <w:qFormat/>
    <w:rsid w:val="00982564"/>
    <w:pPr>
      <w:spacing w:after="200"/>
    </w:pPr>
    <w:rPr>
      <w:b/>
      <w:bCs/>
      <w:sz w:val="22"/>
      <w:szCs w:val="18"/>
    </w:rPr>
  </w:style>
  <w:style w:type="paragraph" w:styleId="FootnoteText">
    <w:name w:val="footnote text"/>
    <w:basedOn w:val="Normal"/>
    <w:link w:val="FootnoteTextChar"/>
    <w:uiPriority w:val="99"/>
    <w:rsid w:val="00982564"/>
    <w:rPr>
      <w:sz w:val="20"/>
      <w:szCs w:val="20"/>
      <w:lang w:val="nl-NL" w:eastAsia="nl-NL"/>
    </w:rPr>
  </w:style>
  <w:style w:type="character" w:customStyle="1" w:styleId="FootnoteTextChar">
    <w:name w:val="Footnote Text Char"/>
    <w:basedOn w:val="DefaultParagraphFont"/>
    <w:link w:val="FootnoteText"/>
    <w:uiPriority w:val="99"/>
    <w:rsid w:val="00982564"/>
    <w:rPr>
      <w:rFonts w:ascii="Times New Roman" w:eastAsia="Times New Roman" w:hAnsi="Times New Roman" w:cs="Times New Roman"/>
      <w:sz w:val="20"/>
      <w:szCs w:val="20"/>
      <w:lang w:val="nl-NL" w:eastAsia="nl-NL"/>
    </w:rPr>
  </w:style>
  <w:style w:type="character" w:styleId="FootnoteReference">
    <w:name w:val="footnote reference"/>
    <w:basedOn w:val="DefaultParagraphFont"/>
    <w:uiPriority w:val="99"/>
    <w:rsid w:val="00982564"/>
    <w:rPr>
      <w:rFonts w:cs="Times New Roman"/>
      <w:vertAlign w:val="superscript"/>
    </w:rPr>
  </w:style>
  <w:style w:type="table" w:customStyle="1" w:styleId="LightShading1">
    <w:name w:val="Light Shading1"/>
    <w:basedOn w:val="TableNormal"/>
    <w:uiPriority w:val="60"/>
    <w:rsid w:val="00982564"/>
    <w:pPr>
      <w:spacing w:after="0" w:line="240" w:lineRule="auto"/>
    </w:pPr>
    <w:rPr>
      <w:rFonts w:ascii="Times New Roman" w:eastAsia="Times New Roman" w:hAnsi="Times New Roman" w:cs="Times New Roman"/>
      <w:color w:val="000000" w:themeColor="text1" w:themeShade="BF"/>
      <w:sz w:val="20"/>
      <w:szCs w:val="20"/>
      <w:lang w:val="nl-NL" w:eastAsia="nl-NL"/>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982564"/>
    <w:rPr>
      <w:rFonts w:ascii="Tahoma" w:hAnsi="Tahoma" w:cs="Tahoma"/>
      <w:sz w:val="16"/>
      <w:szCs w:val="16"/>
    </w:rPr>
  </w:style>
  <w:style w:type="character" w:customStyle="1" w:styleId="BalloonTextChar">
    <w:name w:val="Balloon Text Char"/>
    <w:basedOn w:val="DefaultParagraphFont"/>
    <w:link w:val="BalloonText"/>
    <w:uiPriority w:val="99"/>
    <w:semiHidden/>
    <w:rsid w:val="0098256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52661F0A</Template>
  <TotalTime>1</TotalTime>
  <Pages>9</Pages>
  <Words>2111</Words>
  <Characters>12034</Characters>
  <Application>Microsoft Office Word</Application>
  <DocSecurity>0</DocSecurity>
  <Lines>100</Lines>
  <Paragraphs>28</Paragraphs>
  <ScaleCrop>false</ScaleCrop>
  <Company>Texas A&amp;M University</Company>
  <LinksUpToDate>false</LinksUpToDate>
  <CharactersWithSpaces>14117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2016-11-07T16:05:00Z</dcterms:created>
  <dcterms:modified xsi:type="dcterms:W3CDTF">2016-11-07T16:06:00Z</dcterms:modified>
</cp:coreProperties>
</file>